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eastAsia" w:ascii="宋体" w:hAnsi="宋体" w:eastAsia="宋体" w:cs="宋体"/>
          <w:b/>
          <w:bCs/>
          <w:color w:val="000000" w:themeColor="text1"/>
          <w:spacing w:val="4"/>
          <w:sz w:val="44"/>
          <w:szCs w:val="44"/>
          <w:lang w:val="en-US" w:eastAsia="zh-CN"/>
          <w14:textFill>
            <w14:solidFill>
              <w14:schemeClr w14:val="tx1"/>
            </w14:solidFill>
          </w14:textFill>
        </w:rPr>
      </w:pPr>
      <w:r>
        <w:rPr>
          <w:rFonts w:hint="eastAsia" w:ascii="宋体" w:hAnsi="宋体" w:eastAsia="宋体" w:cs="宋体"/>
          <w:b/>
          <w:bCs/>
          <w:color w:val="000000" w:themeColor="text1"/>
          <w:spacing w:val="4"/>
          <w:sz w:val="44"/>
          <w:szCs w:val="44"/>
          <w:lang w:val="en-US" w:eastAsia="zh-CN"/>
          <w14:textFill>
            <w14:solidFill>
              <w14:schemeClr w14:val="tx1"/>
            </w14:solidFill>
          </w14:textFill>
        </w:rPr>
        <w:t>移动</w:t>
      </w:r>
      <w:r>
        <w:rPr>
          <w:rFonts w:hint="eastAsia" w:ascii="宋体" w:hAnsi="宋体" w:eastAsia="宋体" w:cs="宋体"/>
          <w:b/>
          <w:bCs/>
          <w:color w:val="000000" w:themeColor="text1"/>
          <w:spacing w:val="4"/>
          <w:sz w:val="44"/>
          <w:szCs w:val="44"/>
          <w:lang w:eastAsia="zh-CN"/>
          <w14:textFill>
            <w14:solidFill>
              <w14:schemeClr w14:val="tx1"/>
            </w14:solidFill>
          </w14:textFill>
        </w:rPr>
        <w:t>制氮装置</w:t>
      </w:r>
      <w:r>
        <w:rPr>
          <w:rFonts w:hint="eastAsia" w:ascii="宋体" w:hAnsi="宋体" w:eastAsia="宋体" w:cs="宋体"/>
          <w:b/>
          <w:bCs/>
          <w:color w:val="000000" w:themeColor="text1"/>
          <w:spacing w:val="4"/>
          <w:sz w:val="44"/>
          <w:szCs w:val="44"/>
          <w14:textFill>
            <w14:solidFill>
              <w14:schemeClr w14:val="tx1"/>
            </w14:solidFill>
          </w14:textFill>
        </w:rPr>
        <w:t>技术</w:t>
      </w:r>
      <w:r>
        <w:rPr>
          <w:rFonts w:hint="eastAsia" w:ascii="宋体" w:hAnsi="宋体" w:eastAsia="宋体" w:cs="宋体"/>
          <w:b/>
          <w:bCs/>
          <w:color w:val="000000" w:themeColor="text1"/>
          <w:spacing w:val="4"/>
          <w:sz w:val="44"/>
          <w:szCs w:val="44"/>
          <w:lang w:val="en-US" w:eastAsia="zh-CN"/>
          <w14:textFill>
            <w14:solidFill>
              <w14:schemeClr w14:val="tx1"/>
            </w14:solidFill>
          </w14:textFill>
        </w:rPr>
        <w:t>要求</w:t>
      </w:r>
    </w:p>
    <w:p>
      <w:pPr>
        <w:pStyle w:val="5"/>
        <w:widowControl w:val="0"/>
        <w:numPr>
          <w:ilvl w:val="0"/>
          <w:numId w:val="1"/>
        </w:numPr>
        <w:adjustRightInd w:val="0"/>
        <w:snapToGrid w:val="0"/>
        <w:spacing w:after="0" w:line="520" w:lineRule="exact"/>
        <w:ind w:left="0" w:leftChars="0" w:right="-512" w:rightChars="-244" w:firstLine="578" w:firstLineChars="200"/>
        <w:rPr>
          <w:rFonts w:hint="eastAsia" w:ascii="宋体" w:hAnsi="宋体" w:eastAsia="宋体" w:cs="宋体"/>
          <w:b/>
          <w:bCs/>
          <w:color w:val="000000" w:themeColor="text1"/>
          <w:spacing w:val="4"/>
          <w:sz w:val="28"/>
          <w:szCs w:val="28"/>
          <w14:textFill>
            <w14:solidFill>
              <w14:schemeClr w14:val="tx1"/>
            </w14:solidFill>
          </w14:textFill>
        </w:rPr>
      </w:pPr>
      <w:r>
        <w:rPr>
          <w:rFonts w:hint="eastAsia" w:ascii="宋体" w:hAnsi="宋体" w:eastAsia="宋体" w:cs="宋体"/>
          <w:b/>
          <w:bCs/>
          <w:color w:val="000000" w:themeColor="text1"/>
          <w:spacing w:val="4"/>
          <w:sz w:val="28"/>
          <w:szCs w:val="28"/>
          <w14:textFill>
            <w14:solidFill>
              <w14:schemeClr w14:val="tx1"/>
            </w14:solidFill>
          </w14:textFill>
        </w:rPr>
        <w:t>使用环境概述：</w:t>
      </w:r>
    </w:p>
    <w:p>
      <w:pPr>
        <w:autoSpaceDE w:val="0"/>
        <w:adjustRightInd w:val="0"/>
        <w:snapToGrid w:val="0"/>
        <w:spacing w:line="520" w:lineRule="exact"/>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环境温度为1℃～+40℃；</w:t>
      </w:r>
    </w:p>
    <w:p>
      <w:pPr>
        <w:autoSpaceDE w:val="0"/>
        <w:adjustRightInd w:val="0"/>
        <w:snapToGrid w:val="0"/>
        <w:spacing w:line="520" w:lineRule="exact"/>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环境空气湿度不大于95%(+25℃)；</w:t>
      </w:r>
    </w:p>
    <w:p>
      <w:pPr>
        <w:autoSpaceDE w:val="0"/>
        <w:adjustRightInd w:val="0"/>
        <w:snapToGrid w:val="0"/>
        <w:spacing w:line="520" w:lineRule="exact"/>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有甲烷和煤尘等爆炸危险的矿井中；</w:t>
      </w:r>
    </w:p>
    <w:p>
      <w:pPr>
        <w:autoSpaceDE w:val="0"/>
        <w:adjustRightInd w:val="0"/>
        <w:snapToGrid w:val="0"/>
        <w:spacing w:line="520" w:lineRule="exact"/>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无破坏绝缘气体的矿井中；</w:t>
      </w:r>
    </w:p>
    <w:p>
      <w:pPr>
        <w:autoSpaceDE w:val="0"/>
        <w:adjustRightInd w:val="0"/>
        <w:snapToGrid w:val="0"/>
        <w:spacing w:line="520" w:lineRule="exact"/>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无显著振动和冲击的地方。</w:t>
      </w:r>
    </w:p>
    <w:p>
      <w:pPr>
        <w:numPr>
          <w:ilvl w:val="0"/>
          <w:numId w:val="2"/>
        </w:numPr>
        <w:tabs>
          <w:tab w:val="left" w:pos="6729"/>
        </w:tabs>
        <w:adjustRightInd w:val="0"/>
        <w:snapToGrid w:val="0"/>
        <w:spacing w:line="520" w:lineRule="exact"/>
        <w:ind w:firstLine="578" w:firstLineChars="200"/>
        <w:rPr>
          <w:rFonts w:hint="eastAsia" w:ascii="宋体" w:hAnsi="宋体" w:eastAsia="宋体" w:cs="宋体"/>
          <w:b/>
          <w:bCs/>
          <w:color w:val="000000" w:themeColor="text1"/>
          <w:spacing w:val="4"/>
          <w:sz w:val="28"/>
          <w:szCs w:val="28"/>
          <w14:textFill>
            <w14:solidFill>
              <w14:schemeClr w14:val="tx1"/>
            </w14:solidFill>
          </w14:textFill>
        </w:rPr>
      </w:pPr>
      <w:r>
        <w:rPr>
          <w:rFonts w:hint="eastAsia" w:ascii="宋体" w:hAnsi="宋体" w:eastAsia="宋体" w:cs="宋体"/>
          <w:b/>
          <w:bCs/>
          <w:color w:val="000000" w:themeColor="text1"/>
          <w:spacing w:val="4"/>
          <w:sz w:val="28"/>
          <w:szCs w:val="28"/>
          <w14:textFill>
            <w14:solidFill>
              <w14:schemeClr w14:val="tx1"/>
            </w14:solidFill>
          </w14:textFill>
        </w:rPr>
        <w:t>技术参数及配置要求：</w:t>
      </w:r>
    </w:p>
    <w:p>
      <w:pPr>
        <w:autoSpaceDE w:val="0"/>
        <w:adjustRightInd w:val="0"/>
        <w:snapToGrid w:val="0"/>
        <w:spacing w:line="520" w:lineRule="exact"/>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2.1主要技术参数</w:t>
      </w:r>
    </w:p>
    <w:p>
      <w:pPr>
        <w:autoSpaceDE w:val="0"/>
        <w:adjustRightInd w:val="0"/>
        <w:snapToGrid w:val="0"/>
        <w:spacing w:line="520" w:lineRule="exact"/>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2.1.1氮气流量：600Nm</w:t>
      </w:r>
      <w:r>
        <w:rPr>
          <w:rFonts w:hint="eastAsia" w:ascii="宋体" w:hAnsi="宋体" w:eastAsia="宋体" w:cs="宋体"/>
          <w:color w:val="000000" w:themeColor="text1"/>
          <w:spacing w:val="4"/>
          <w:sz w:val="28"/>
          <w:szCs w:val="28"/>
          <w:vertAlign w:val="superscript"/>
          <w14:textFill>
            <w14:solidFill>
              <w14:schemeClr w14:val="tx1"/>
            </w14:solidFill>
          </w14:textFill>
        </w:rPr>
        <w:t>3</w:t>
      </w:r>
      <w:r>
        <w:rPr>
          <w:rFonts w:hint="eastAsia" w:ascii="宋体" w:hAnsi="宋体" w:eastAsia="宋体" w:cs="宋体"/>
          <w:color w:val="000000" w:themeColor="text1"/>
          <w:spacing w:val="4"/>
          <w:sz w:val="28"/>
          <w:szCs w:val="28"/>
          <w14:textFill>
            <w14:solidFill>
              <w14:schemeClr w14:val="tx1"/>
            </w14:solidFill>
          </w14:textFill>
        </w:rPr>
        <w:t>/h。</w:t>
      </w:r>
    </w:p>
    <w:p>
      <w:pPr>
        <w:autoSpaceDE w:val="0"/>
        <w:adjustRightInd w:val="0"/>
        <w:snapToGrid w:val="0"/>
        <w:spacing w:line="520" w:lineRule="exact"/>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 xml:space="preserve">2.1.2氮气纯度：≥97%(氧气纯度＜3%）。  </w:t>
      </w:r>
    </w:p>
    <w:p>
      <w:pPr>
        <w:autoSpaceDE w:val="0"/>
        <w:adjustRightInd w:val="0"/>
        <w:snapToGrid w:val="0"/>
        <w:spacing w:line="520" w:lineRule="exact"/>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2.1.3氮气压力：可调</w:t>
      </w:r>
      <w:r>
        <w:rPr>
          <w:rFonts w:hint="eastAsia" w:ascii="宋体" w:hAnsi="宋体" w:eastAsia="宋体" w:cs="宋体"/>
          <w:color w:val="000000" w:themeColor="text1"/>
          <w:spacing w:val="4"/>
          <w:sz w:val="28"/>
          <w:szCs w:val="28"/>
          <w:lang w:val="en-US" w:eastAsia="zh-CN"/>
          <w14:textFill>
            <w14:solidFill>
              <w14:schemeClr w14:val="tx1"/>
            </w14:solidFill>
          </w14:textFill>
        </w:rPr>
        <w:t>节</w:t>
      </w:r>
      <w:r>
        <w:rPr>
          <w:rFonts w:hint="eastAsia" w:ascii="宋体" w:hAnsi="宋体" w:eastAsia="宋体" w:cs="宋体"/>
          <w:color w:val="000000" w:themeColor="text1"/>
          <w:spacing w:val="4"/>
          <w:sz w:val="28"/>
          <w:szCs w:val="28"/>
          <w:lang w:eastAsia="zh-CN"/>
          <w14:textFill>
            <w14:solidFill>
              <w14:schemeClr w14:val="tx1"/>
            </w14:solidFill>
          </w14:textFill>
        </w:rPr>
        <w:t>。</w:t>
      </w:r>
    </w:p>
    <w:p>
      <w:pPr>
        <w:autoSpaceDE w:val="0"/>
        <w:adjustRightInd w:val="0"/>
        <w:snapToGrid w:val="0"/>
        <w:spacing w:line="520" w:lineRule="exact"/>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2.1.4电压等级：</w:t>
      </w:r>
      <w:r>
        <w:rPr>
          <w:rFonts w:hint="eastAsia" w:ascii="宋体" w:hAnsi="宋体" w:eastAsia="宋体" w:cs="宋体"/>
          <w:color w:val="000000" w:themeColor="text1"/>
          <w:spacing w:val="4"/>
          <w:sz w:val="28"/>
          <w:szCs w:val="28"/>
          <w:lang w:val="en-US" w:eastAsia="zh-CN"/>
          <w14:textFill>
            <w14:solidFill>
              <w14:schemeClr w14:val="tx1"/>
            </w14:solidFill>
          </w14:textFill>
        </w:rPr>
        <w:t>660/</w:t>
      </w:r>
      <w:r>
        <w:rPr>
          <w:rFonts w:hint="eastAsia" w:ascii="宋体" w:hAnsi="宋体" w:eastAsia="宋体" w:cs="宋体"/>
          <w:color w:val="000000" w:themeColor="text1"/>
          <w:spacing w:val="4"/>
          <w:sz w:val="28"/>
          <w:szCs w:val="28"/>
          <w:lang w:eastAsia="zh-CN"/>
          <w14:textFill>
            <w14:solidFill>
              <w14:schemeClr w14:val="tx1"/>
            </w14:solidFill>
          </w14:textFill>
        </w:rPr>
        <w:t xml:space="preserve">1140V </w:t>
      </w:r>
    </w:p>
    <w:p>
      <w:pPr>
        <w:autoSpaceDE w:val="0"/>
        <w:adjustRightInd w:val="0"/>
        <w:snapToGrid w:val="0"/>
        <w:spacing w:line="520" w:lineRule="exact"/>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2.1.5冷却方式：水冷。</w:t>
      </w:r>
    </w:p>
    <w:p>
      <w:pPr>
        <w:autoSpaceDE w:val="0"/>
        <w:adjustRightInd w:val="0"/>
        <w:snapToGrid w:val="0"/>
        <w:spacing w:line="520" w:lineRule="exact"/>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2.1.6轨距：</w:t>
      </w:r>
      <w:r>
        <w:rPr>
          <w:rFonts w:hint="eastAsia" w:ascii="宋体" w:hAnsi="宋体" w:eastAsia="宋体" w:cs="宋体"/>
          <w:color w:val="000000" w:themeColor="text1"/>
          <w:spacing w:val="4"/>
          <w:sz w:val="28"/>
          <w:szCs w:val="28"/>
          <w:lang w:val="en-US" w:eastAsia="zh-CN"/>
          <w14:textFill>
            <w14:solidFill>
              <w14:schemeClr w14:val="tx1"/>
            </w14:solidFill>
          </w14:textFill>
        </w:rPr>
        <w:t>6</w:t>
      </w:r>
      <w:r>
        <w:rPr>
          <w:rFonts w:hint="eastAsia" w:ascii="宋体" w:hAnsi="宋体" w:eastAsia="宋体" w:cs="宋体"/>
          <w:color w:val="000000" w:themeColor="text1"/>
          <w:spacing w:val="4"/>
          <w:sz w:val="28"/>
          <w:szCs w:val="28"/>
          <w:lang w:eastAsia="zh-CN"/>
          <w14:textFill>
            <w14:solidFill>
              <w14:schemeClr w14:val="tx1"/>
            </w14:solidFill>
          </w14:textFill>
        </w:rPr>
        <w:t>00mm。</w:t>
      </w:r>
    </w:p>
    <w:p>
      <w:pPr>
        <w:autoSpaceDE w:val="0"/>
        <w:adjustRightInd w:val="0"/>
        <w:snapToGrid w:val="0"/>
        <w:spacing w:line="520" w:lineRule="exact"/>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2.1.7外形尺寸（单件最大尺寸）：</w:t>
      </w:r>
      <w:r>
        <w:rPr>
          <w:rFonts w:hint="eastAsia" w:ascii="宋体" w:hAnsi="宋体" w:eastAsia="宋体" w:cs="宋体"/>
          <w:color w:val="000000" w:themeColor="text1"/>
          <w:spacing w:val="4"/>
          <w:sz w:val="28"/>
          <w:szCs w:val="28"/>
          <w:lang w:val="en-US" w:eastAsia="zh-CN"/>
          <w14:textFill>
            <w14:solidFill>
              <w14:schemeClr w14:val="tx1"/>
            </w14:solidFill>
          </w14:textFill>
        </w:rPr>
        <w:t>单节车辆</w:t>
      </w:r>
      <w:r>
        <w:rPr>
          <w:rFonts w:hint="eastAsia" w:ascii="宋体" w:hAnsi="宋体" w:eastAsia="宋体" w:cs="宋体"/>
          <w:color w:val="000000" w:themeColor="text1"/>
          <w:spacing w:val="4"/>
          <w:sz w:val="28"/>
          <w:szCs w:val="28"/>
          <w:lang w:eastAsia="zh-CN"/>
          <w14:textFill>
            <w14:solidFill>
              <w14:schemeClr w14:val="tx1"/>
            </w14:solidFill>
          </w14:textFill>
        </w:rPr>
        <w:t>≤3770×1400×1960㎜（可拆解）;</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highlight w:val="none"/>
          <w:lang w:eastAsia="zh-CN"/>
          <w14:textFill>
            <w14:solidFill>
              <w14:schemeClr w14:val="tx1"/>
            </w14:solidFill>
          </w14:textFill>
        </w:rPr>
      </w:pPr>
      <w:r>
        <w:rPr>
          <w:rFonts w:hint="eastAsia" w:ascii="宋体" w:hAnsi="宋体" w:eastAsia="宋体" w:cs="宋体"/>
          <w:color w:val="000000" w:themeColor="text1"/>
          <w:spacing w:val="4"/>
          <w:sz w:val="28"/>
          <w:szCs w:val="28"/>
          <w:highlight w:val="none"/>
          <w:lang w:eastAsia="zh-CN"/>
          <w14:textFill>
            <w14:solidFill>
              <w14:schemeClr w14:val="tx1"/>
            </w14:solidFill>
          </w14:textFill>
        </w:rPr>
        <w:t>2.2.4空压机参数与性能：</w:t>
      </w:r>
    </w:p>
    <w:p>
      <w:pPr>
        <w:adjustRightInd w:val="0"/>
        <w:snapToGrid w:val="0"/>
        <w:spacing w:line="360" w:lineRule="auto"/>
        <w:ind w:firstLine="840" w:firstLineChars="3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产品名称：煤矿用螺杆式移动空气压缩机</w:t>
      </w:r>
    </w:p>
    <w:p>
      <w:pPr>
        <w:adjustRightInd w:val="0"/>
        <w:snapToGrid w:val="0"/>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冷却方式：水冷</w:t>
      </w:r>
    </w:p>
    <w:p>
      <w:pPr>
        <w:adjustRightInd w:val="0"/>
        <w:snapToGrid w:val="0"/>
        <w:spacing w:line="360" w:lineRule="auto"/>
        <w:ind w:firstLine="840" w:firstLineChars="300"/>
        <w:rPr>
          <w:rFonts w:hint="eastAsia" w:ascii="宋体" w:hAnsi="宋体" w:eastAsia="宋体" w:cs="宋体"/>
          <w:color w:val="000000" w:themeColor="text1"/>
          <w:kern w:val="0"/>
          <w:sz w:val="28"/>
          <w:szCs w:val="28"/>
          <w:lang w:val="en-US" w:eastAsia="zh-CN" w:bidi="ar-SA"/>
          <w14:textFill>
            <w14:solidFill>
              <w14:schemeClr w14:val="tx1"/>
            </w14:solidFill>
          </w14:textFill>
          <w14:ligatures w14:val="none"/>
        </w:rPr>
      </w:pPr>
      <w:r>
        <w:rPr>
          <w:rFonts w:hint="eastAsia" w:ascii="宋体" w:hAnsi="宋体" w:eastAsia="宋体" w:cs="宋体"/>
          <w:color w:val="000000" w:themeColor="text1"/>
          <w:kern w:val="0"/>
          <w:sz w:val="28"/>
          <w:szCs w:val="28"/>
          <w:lang w:val="en-US" w:eastAsia="zh-CN" w:bidi="ar-SA"/>
          <w14:textFill>
            <w14:solidFill>
              <w14:schemeClr w14:val="tx1"/>
            </w14:solidFill>
          </w14:textFill>
          <w14:ligatures w14:val="none"/>
        </w:rPr>
        <w:t xml:space="preserve">空压机必须具备有超温断电保护、超压保护、断油保护、油超温自动保护，自动排污等功能 </w:t>
      </w:r>
    </w:p>
    <w:p>
      <w:pPr>
        <w:adjustRightInd w:val="0"/>
        <w:snapToGrid w:val="0"/>
        <w:spacing w:line="360" w:lineRule="auto"/>
        <w:ind w:firstLine="576" w:firstLineChars="200"/>
        <w:jc w:val="both"/>
        <w:textAlignment w:val="baseline"/>
        <w:rPr>
          <w:rFonts w:hint="eastAsia" w:ascii="宋体" w:hAnsi="宋体" w:eastAsia="宋体" w:cs="宋体"/>
          <w:color w:val="000000" w:themeColor="text1"/>
          <w:spacing w:val="4"/>
          <w:kern w:val="2"/>
          <w:sz w:val="28"/>
          <w:szCs w:val="28"/>
          <w:highlight w:val="none"/>
          <w:lang w:eastAsia="zh-CN"/>
          <w14:textFill>
            <w14:solidFill>
              <w14:schemeClr w14:val="tx1"/>
            </w14:solidFill>
          </w14:textFill>
        </w:rPr>
      </w:pPr>
      <w:r>
        <w:rPr>
          <w:rFonts w:hint="eastAsia" w:ascii="宋体" w:hAnsi="宋体" w:eastAsia="宋体" w:cs="宋体"/>
          <w:color w:val="000000" w:themeColor="text1"/>
          <w:spacing w:val="4"/>
          <w:kern w:val="2"/>
          <w:sz w:val="28"/>
          <w:szCs w:val="28"/>
          <w:lang w:eastAsia="zh-CN"/>
          <w14:textFill>
            <w14:solidFill>
              <w14:schemeClr w14:val="tx1"/>
            </w14:solidFill>
          </w14:textFill>
        </w:rPr>
        <w:t>2.2.5本机控制方式：必须使用全触摸屏控制</w:t>
      </w:r>
      <w:r>
        <w:rPr>
          <w:rFonts w:hint="eastAsia" w:ascii="宋体" w:hAnsi="宋体" w:cs="宋体"/>
          <w:color w:val="000000" w:themeColor="text1"/>
          <w:spacing w:val="4"/>
          <w:kern w:val="2"/>
          <w:sz w:val="28"/>
          <w:szCs w:val="28"/>
          <w:lang w:eastAsia="zh-CN"/>
          <w14:textFill>
            <w14:solidFill>
              <w14:schemeClr w14:val="tx1"/>
            </w14:solidFill>
          </w14:textFill>
        </w:rPr>
        <w:t>、</w:t>
      </w:r>
      <w:r>
        <w:rPr>
          <w:rFonts w:hint="eastAsia" w:ascii="宋体" w:hAnsi="宋体" w:eastAsia="宋体" w:cs="宋体"/>
          <w:color w:val="000000" w:themeColor="text1"/>
          <w:spacing w:val="4"/>
          <w:kern w:val="2"/>
          <w:sz w:val="28"/>
          <w:szCs w:val="28"/>
          <w:lang w:eastAsia="zh-CN"/>
          <w14:textFill>
            <w14:solidFill>
              <w14:schemeClr w14:val="tx1"/>
            </w14:solidFill>
          </w14:textFill>
        </w:rPr>
        <w:t>整机（包含空压机在内）实现“一键启停”功能</w:t>
      </w:r>
      <w:r>
        <w:rPr>
          <w:rFonts w:hint="eastAsia" w:ascii="宋体" w:hAnsi="宋体" w:eastAsia="宋体" w:cs="宋体"/>
          <w:color w:val="000000" w:themeColor="text1"/>
          <w:spacing w:val="4"/>
          <w:kern w:val="2"/>
          <w:sz w:val="28"/>
          <w:szCs w:val="28"/>
          <w:highlight w:val="none"/>
          <w:lang w:eastAsia="zh-CN"/>
          <w14:textFill>
            <w14:solidFill>
              <w14:schemeClr w14:val="tx1"/>
            </w14:solidFill>
          </w14:textFill>
        </w:rPr>
        <w:t>。</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2.2.</w:t>
      </w:r>
      <w:r>
        <w:rPr>
          <w:rFonts w:hint="eastAsia" w:ascii="宋体" w:hAnsi="宋体" w:eastAsia="宋体" w:cs="宋体"/>
          <w:color w:val="000000" w:themeColor="text1"/>
          <w:spacing w:val="4"/>
          <w:sz w:val="28"/>
          <w:szCs w:val="28"/>
          <w:lang w:val="en-US" w:eastAsia="zh-CN"/>
          <w14:textFill>
            <w14:solidFill>
              <w14:schemeClr w14:val="tx1"/>
            </w14:solidFill>
          </w14:textFill>
        </w:rPr>
        <w:t>6</w:t>
      </w:r>
      <w:r>
        <w:rPr>
          <w:rFonts w:hint="eastAsia" w:ascii="宋体" w:hAnsi="宋体" w:eastAsia="宋体" w:cs="宋体"/>
          <w:color w:val="000000" w:themeColor="text1"/>
          <w:spacing w:val="4"/>
          <w:sz w:val="28"/>
          <w:szCs w:val="28"/>
          <w:lang w:eastAsia="zh-CN"/>
          <w14:textFill>
            <w14:solidFill>
              <w14:schemeClr w14:val="tx1"/>
            </w14:solidFill>
          </w14:textFill>
        </w:rPr>
        <w:t>保护功能齐全</w:t>
      </w: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eastAsia="zh-CN"/>
          <w14:textFill>
            <w14:solidFill>
              <w14:schemeClr w14:val="tx1"/>
            </w14:solidFill>
          </w14:textFill>
        </w:rPr>
        <w:t>当氮气纯度≥97%（氧气纯度＜3%）时判定气体合格，进入注氮管路；反之，则进入排空管路。</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2.2.</w:t>
      </w:r>
      <w:r>
        <w:rPr>
          <w:rFonts w:hint="eastAsia" w:ascii="宋体" w:hAnsi="宋体" w:eastAsia="宋体" w:cs="宋体"/>
          <w:color w:val="000000" w:themeColor="text1"/>
          <w:spacing w:val="4"/>
          <w:sz w:val="28"/>
          <w:szCs w:val="28"/>
          <w:lang w:val="en-US" w:eastAsia="zh-CN"/>
          <w14:textFill>
            <w14:solidFill>
              <w14:schemeClr w14:val="tx1"/>
            </w14:solidFill>
          </w14:textFill>
        </w:rPr>
        <w:t>7</w:t>
      </w:r>
      <w:r>
        <w:rPr>
          <w:rFonts w:hint="eastAsia" w:ascii="宋体" w:hAnsi="宋体" w:eastAsia="宋体" w:cs="宋体"/>
          <w:color w:val="000000" w:themeColor="text1"/>
          <w:spacing w:val="4"/>
          <w:sz w:val="28"/>
          <w:szCs w:val="28"/>
          <w:lang w:eastAsia="zh-CN"/>
          <w14:textFill>
            <w14:solidFill>
              <w14:schemeClr w14:val="tx1"/>
            </w14:solidFill>
          </w14:textFill>
        </w:rPr>
        <w:t>状态检测：空压机排气压力、排气温度、氮气纯度、氮气流量、制氮压力等参数实时在线监测，并集中显示于制氮装置控制箱PLC显示屏。</w:t>
      </w:r>
    </w:p>
    <w:p>
      <w:pPr>
        <w:autoSpaceDE w:val="0"/>
        <w:adjustRightInd w:val="0"/>
        <w:snapToGrid w:val="0"/>
        <w:spacing w:line="360" w:lineRule="auto"/>
        <w:ind w:firstLine="576" w:firstLineChars="200"/>
        <w:rPr>
          <w:rFonts w:hint="default" w:ascii="宋体" w:hAnsi="宋体" w:eastAsia="宋体" w:cs="宋体"/>
          <w:color w:val="000000" w:themeColor="text1"/>
          <w:spacing w:val="4"/>
          <w:sz w:val="28"/>
          <w:szCs w:val="28"/>
          <w:lang w:val="en-US" w:eastAsia="zh-CN"/>
          <w14:textFill>
            <w14:solidFill>
              <w14:schemeClr w14:val="tx1"/>
            </w14:solidFill>
          </w14:textFill>
        </w:rPr>
      </w:pPr>
      <w:r>
        <w:rPr>
          <w:rFonts w:hint="eastAsia" w:ascii="宋体" w:hAnsi="宋体" w:eastAsia="宋体" w:cs="宋体"/>
          <w:color w:val="000000" w:themeColor="text1"/>
          <w:spacing w:val="4"/>
          <w:sz w:val="28"/>
          <w:szCs w:val="28"/>
          <w:lang w:val="en-US" w:eastAsia="zh-CN"/>
          <w14:textFill>
            <w14:solidFill>
              <w14:schemeClr w14:val="tx1"/>
            </w14:solidFill>
          </w14:textFill>
        </w:rPr>
        <w:t>2.2.8 通信与联网要求：保证在绝对不影响安全生产系统正常使用的情况下，快速可靠地实现制氮机控制系统与当前矿方使用的煤矿防灭火系统的联网联动。氮气产量、氮气纯度、氮气压力、空气压力、空气温度、滤芯压差、加热器出口温度、运行时间、累计流量、制氮机开停等状态和数据现场就地触摸屏显示，装置应具有三层压力监控、三层温度监控、过滤器滤芯污染报警及排空等保护功能。提供工业以太网或 RS485 等接口</w:t>
      </w:r>
      <w:r>
        <w:rPr>
          <w:rFonts w:hint="eastAsia" w:ascii="宋体" w:hAnsi="宋体" w:cs="宋体"/>
          <w:color w:val="000000" w:themeColor="text1"/>
          <w:spacing w:val="4"/>
          <w:sz w:val="28"/>
          <w:szCs w:val="28"/>
          <w:lang w:val="en-US" w:eastAsia="zh-CN"/>
          <w14:textFill>
            <w14:solidFill>
              <w14:schemeClr w14:val="tx1"/>
            </w14:solidFill>
          </w14:textFill>
        </w:rPr>
        <w:t>，便于后期智能化改造</w:t>
      </w:r>
      <w:r>
        <w:rPr>
          <w:rFonts w:hint="eastAsia" w:ascii="宋体" w:hAnsi="宋体" w:eastAsia="宋体" w:cs="宋体"/>
          <w:color w:val="000000" w:themeColor="text1"/>
          <w:spacing w:val="4"/>
          <w:sz w:val="28"/>
          <w:szCs w:val="28"/>
          <w:lang w:val="en-US" w:eastAsia="zh-CN"/>
          <w14:textFill>
            <w14:solidFill>
              <w14:schemeClr w14:val="tx1"/>
            </w14:solidFill>
          </w14:textFill>
        </w:rPr>
        <w:t xml:space="preserve">。（使用 modbus、TCP/IP 或 PROFIBUS-DP 等通讯协议）。 </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2.3执行标准</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设备的设计和制造应符合适用的中国最新版国家标准（GB）或在国际范围内被接受的具有不低于下列标准的要求。</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MT/T 774-2011矿用移动式膜分离制氮装置通用技术条件</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 xml:space="preserve"> MT/T701-1997《煤矿用氮气防灭火技术规范》；</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GB 3836.1-2010《爆炸性环境用防爆电气设备第1部分：通用要求》</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GB 3836.2-2010《爆炸性环境用防爆电气设备第2部分：隔爆型“d”》</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GB 3836.4-2010《爆炸性环境用防爆电气设备第4部分：本质安全型“i”》</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GB/T 191-2008包装储运图示标志</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GB/T 13306-2002标牌</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GB/T 13384-2008机电产品包装通用技术条件</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MT/T 661-2011煤矿井下用电器设备通用技术条件</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JB 4262-1992 防爆电器橡套电缆引入装置</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AQ 1043-2007 矿用产品安全标志标识</w:t>
      </w:r>
    </w:p>
    <w:p>
      <w:pPr>
        <w:autoSpaceDE w:val="0"/>
        <w:adjustRightInd w:val="0"/>
        <w:snapToGrid w:val="0"/>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2.4供方的产品符合国家相关行业标准，并保证符合最新版《煤矿安全规程》的要求。</w:t>
      </w:r>
    </w:p>
    <w:p>
      <w:pPr>
        <w:pStyle w:val="4"/>
        <w:numPr>
          <w:ilvl w:val="0"/>
          <w:numId w:val="2"/>
        </w:numPr>
        <w:adjustRightInd w:val="0"/>
        <w:snapToGrid w:val="0"/>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采购范围</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4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960" w:type="dxa"/>
            <w:vAlign w:val="center"/>
          </w:tcPr>
          <w:p>
            <w:pPr>
              <w:pStyle w:val="4"/>
              <w:adjustRightInd w:val="0"/>
              <w:snapToGrid w:val="0"/>
              <w:spacing w:line="360" w:lineRule="auto"/>
              <w:ind w:firstLine="562" w:firstLineChars="200"/>
              <w:jc w:val="center"/>
              <w:rPr>
                <w:rFonts w:hint="eastAsia" w:ascii="宋体" w:hAnsi="宋体" w:eastAsia="宋体" w:cs="宋体"/>
                <w:b/>
                <w:bCs/>
                <w:color w:val="000000" w:themeColor="text1"/>
                <w:sz w:val="28"/>
                <w:szCs w:val="28"/>
                <w:lang w:val="zh-CN"/>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设备名称</w:t>
            </w:r>
          </w:p>
        </w:tc>
        <w:tc>
          <w:tcPr>
            <w:tcW w:w="4346" w:type="dxa"/>
            <w:vAlign w:val="center"/>
          </w:tcPr>
          <w:p>
            <w:pPr>
              <w:pStyle w:val="4"/>
              <w:adjustRightInd w:val="0"/>
              <w:snapToGrid w:val="0"/>
              <w:spacing w:line="360" w:lineRule="auto"/>
              <w:ind w:firstLine="1405" w:firstLineChars="500"/>
              <w:rPr>
                <w:rFonts w:hint="eastAsia" w:ascii="宋体" w:hAnsi="宋体" w:eastAsia="宋体" w:cs="宋体"/>
                <w:b/>
                <w:bCs/>
                <w:color w:val="000000" w:themeColor="text1"/>
                <w:sz w:val="28"/>
                <w:szCs w:val="28"/>
                <w:lang w:val="zh-CN"/>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参考型号及要求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60" w:type="dxa"/>
            <w:vAlign w:val="center"/>
          </w:tcPr>
          <w:p>
            <w:pPr>
              <w:adjustRightInd w:val="0"/>
              <w:snapToGrid w:val="0"/>
              <w:spacing w:line="360" w:lineRule="auto"/>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煤矿用移动式膜分离制氮装置</w:t>
            </w:r>
          </w:p>
        </w:tc>
        <w:tc>
          <w:tcPr>
            <w:tcW w:w="4346" w:type="dxa"/>
            <w:vAlign w:val="center"/>
          </w:tcPr>
          <w:p>
            <w:pPr>
              <w:adjustRightInd w:val="0"/>
              <w:snapToGrid w:val="0"/>
              <w:spacing w:line="360" w:lineRule="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DM-600/10（L）</w:t>
            </w:r>
          </w:p>
        </w:tc>
      </w:tr>
    </w:tbl>
    <w:p>
      <w:pPr>
        <w:pStyle w:val="4"/>
        <w:adjustRightInd w:val="0"/>
        <w:snapToGrid w:val="0"/>
        <w:spacing w:line="520" w:lineRule="exact"/>
        <w:ind w:firstLine="578" w:firstLineChars="200"/>
        <w:rPr>
          <w:rFonts w:hint="eastAsia" w:ascii="宋体" w:hAnsi="宋体" w:eastAsia="宋体" w:cs="宋体"/>
          <w:b/>
          <w:bCs/>
          <w:color w:val="000000" w:themeColor="text1"/>
          <w:spacing w:val="4"/>
          <w:sz w:val="28"/>
          <w:szCs w:val="28"/>
          <w:lang w:val="zh-CN"/>
          <w14:textFill>
            <w14:solidFill>
              <w14:schemeClr w14:val="tx1"/>
            </w14:solidFill>
          </w14:textFill>
        </w:rPr>
      </w:pPr>
      <w:r>
        <w:rPr>
          <w:rFonts w:hint="eastAsia" w:ascii="宋体" w:hAnsi="宋体" w:cs="宋体"/>
          <w:b/>
          <w:bCs/>
          <w:color w:val="000000" w:themeColor="text1"/>
          <w:spacing w:val="4"/>
          <w:sz w:val="28"/>
          <w:szCs w:val="28"/>
          <w:lang w:val="en-US" w:eastAsia="zh-CN"/>
          <w14:textFill>
            <w14:solidFill>
              <w14:schemeClr w14:val="tx1"/>
            </w14:solidFill>
          </w14:textFill>
        </w:rPr>
        <w:t>四</w:t>
      </w:r>
      <w:r>
        <w:rPr>
          <w:rFonts w:hint="eastAsia" w:ascii="宋体" w:hAnsi="宋体" w:eastAsia="宋体" w:cs="宋体"/>
          <w:b/>
          <w:bCs/>
          <w:color w:val="000000" w:themeColor="text1"/>
          <w:spacing w:val="4"/>
          <w:sz w:val="28"/>
          <w:szCs w:val="28"/>
          <w:lang w:val="zh-CN"/>
          <w14:textFill>
            <w14:solidFill>
              <w14:schemeClr w14:val="tx1"/>
            </w14:solidFill>
          </w14:textFill>
        </w:rPr>
        <w:t>、检验及验收</w:t>
      </w:r>
    </w:p>
    <w:p>
      <w:pPr>
        <w:adjustRightInd w:val="0"/>
        <w:snapToGrid w:val="0"/>
        <w:spacing w:line="52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设备必须有出厂合格证和出厂检验报告，设备的制造试验技术条件和标准必须符合最新国家标准。</w:t>
      </w:r>
    </w:p>
    <w:p>
      <w:pPr>
        <w:pStyle w:val="4"/>
        <w:adjustRightInd w:val="0"/>
        <w:snapToGrid w:val="0"/>
        <w:spacing w:line="520" w:lineRule="exact"/>
        <w:ind w:firstLine="562" w:firstLineChars="200"/>
        <w:rPr>
          <w:rFonts w:hint="eastAsia" w:ascii="宋体" w:hAnsi="宋体" w:eastAsia="宋体" w:cs="宋体"/>
          <w:b/>
          <w:bCs/>
          <w:color w:val="000000" w:themeColor="text1"/>
          <w:sz w:val="28"/>
          <w:szCs w:val="28"/>
          <w:lang w:val="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五</w:t>
      </w:r>
      <w:r>
        <w:rPr>
          <w:rFonts w:hint="eastAsia" w:ascii="宋体" w:hAnsi="宋体" w:eastAsia="宋体" w:cs="宋体"/>
          <w:b/>
          <w:bCs/>
          <w:color w:val="000000" w:themeColor="text1"/>
          <w:sz w:val="28"/>
          <w:szCs w:val="28"/>
          <w:lang w:val="zh-CN"/>
          <w14:textFill>
            <w14:solidFill>
              <w14:schemeClr w14:val="tx1"/>
            </w14:solidFill>
          </w14:textFill>
        </w:rPr>
        <w:t>、包装、运输</w:t>
      </w:r>
    </w:p>
    <w:p>
      <w:pPr>
        <w:pStyle w:val="5"/>
        <w:widowControl w:val="0"/>
        <w:adjustRightInd w:val="0"/>
        <w:snapToGrid w:val="0"/>
        <w:spacing w:after="0" w:line="520" w:lineRule="exact"/>
        <w:ind w:left="0" w:leftChars="0" w:right="-512" w:rightChars="-244"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1.供方负责设备的装卸车及运输途中设备的防护工作。</w:t>
      </w:r>
    </w:p>
    <w:p>
      <w:pPr>
        <w:adjustRightInd w:val="0"/>
        <w:snapToGrid w:val="0"/>
        <w:spacing w:line="520" w:lineRule="exact"/>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2.设备出厂10日前，由供方通知需方组织人员进行验收。</w:t>
      </w:r>
    </w:p>
    <w:p>
      <w:pPr>
        <w:adjustRightInd w:val="0"/>
        <w:snapToGrid w:val="0"/>
        <w:spacing w:line="520" w:lineRule="exact"/>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3.供方提供免费技术服务及技术培训，负责委派有能力和称职的组装和调试人员到现场协助或指导安装，并提供必要的常用工具和材料。</w:t>
      </w:r>
    </w:p>
    <w:p>
      <w:pPr>
        <w:pStyle w:val="4"/>
        <w:adjustRightInd w:val="0"/>
        <w:snapToGrid w:val="0"/>
        <w:spacing w:line="520" w:lineRule="exact"/>
        <w:ind w:firstLine="578"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b/>
          <w:bCs/>
          <w:color w:val="000000" w:themeColor="text1"/>
          <w:spacing w:val="4"/>
          <w:sz w:val="28"/>
          <w:szCs w:val="28"/>
          <w:lang w:val="en-US" w:eastAsia="zh-CN"/>
          <w14:textFill>
            <w14:solidFill>
              <w14:schemeClr w14:val="tx1"/>
            </w14:solidFill>
          </w14:textFill>
        </w:rPr>
        <w:t>六</w:t>
      </w:r>
      <w:r>
        <w:rPr>
          <w:rFonts w:hint="eastAsia" w:ascii="宋体" w:hAnsi="宋体" w:eastAsia="宋体" w:cs="宋体"/>
          <w:b/>
          <w:bCs/>
          <w:color w:val="000000" w:themeColor="text1"/>
          <w:spacing w:val="4"/>
          <w:sz w:val="28"/>
          <w:szCs w:val="28"/>
          <w14:textFill>
            <w14:solidFill>
              <w14:schemeClr w14:val="tx1"/>
            </w14:solidFill>
          </w14:textFill>
        </w:rPr>
        <w:t>、</w:t>
      </w:r>
      <w:r>
        <w:rPr>
          <w:rFonts w:hint="eastAsia" w:ascii="宋体" w:hAnsi="宋体" w:eastAsia="宋体" w:cs="宋体"/>
          <w:b/>
          <w:bCs/>
          <w:color w:val="000000" w:themeColor="text1"/>
          <w:spacing w:val="4"/>
          <w:sz w:val="28"/>
          <w:szCs w:val="28"/>
          <w:lang w:val="zh-CN"/>
          <w14:textFill>
            <w14:solidFill>
              <w14:schemeClr w14:val="tx1"/>
            </w14:solidFill>
          </w14:textFill>
        </w:rPr>
        <w:t>交付资料及质量保证</w:t>
      </w:r>
    </w:p>
    <w:p>
      <w:pPr>
        <w:pStyle w:val="5"/>
        <w:widowControl w:val="0"/>
        <w:adjustRightInd w:val="0"/>
        <w:snapToGrid w:val="0"/>
        <w:spacing w:after="0" w:line="520" w:lineRule="exact"/>
        <w:ind w:left="0" w:leftChars="0" w:right="-512" w:rightChars="-244"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1.供方15日内提供各设备与配套件外形与安装图及其它需方要求提供的图纸、资料等，出具电气原理图并提供设备外形尺寸图，便于用户维护及使用。</w:t>
      </w:r>
    </w:p>
    <w:p>
      <w:pPr>
        <w:pStyle w:val="5"/>
        <w:widowControl w:val="0"/>
        <w:adjustRightInd w:val="0"/>
        <w:snapToGrid w:val="0"/>
        <w:spacing w:after="0" w:line="520" w:lineRule="exact"/>
        <w:ind w:left="0" w:leftChars="0" w:right="-512" w:rightChars="-244"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2.交货验收时提供产品合格证、相关防爆合格证、煤安标志证、出厂检验报告、试验报告</w:t>
      </w:r>
      <w:r>
        <w:rPr>
          <w:rFonts w:hint="eastAsia" w:ascii="宋体" w:hAnsi="宋体" w:cs="宋体"/>
          <w:color w:val="000000" w:themeColor="text1"/>
          <w:spacing w:val="4"/>
          <w:sz w:val="28"/>
          <w:szCs w:val="28"/>
          <w:lang w:eastAsia="zh-CN"/>
          <w14:textFill>
            <w14:solidFill>
              <w14:schemeClr w14:val="tx1"/>
            </w14:solidFill>
          </w14:textFill>
        </w:rPr>
        <w:t>、油气分离器安装质量监督检验报告（协助办理备案使用证书）</w:t>
      </w:r>
      <w:r>
        <w:rPr>
          <w:rFonts w:hint="eastAsia" w:ascii="宋体" w:hAnsi="宋体" w:eastAsia="宋体" w:cs="宋体"/>
          <w:color w:val="000000" w:themeColor="text1"/>
          <w:spacing w:val="4"/>
          <w:sz w:val="28"/>
          <w:szCs w:val="28"/>
          <w14:textFill>
            <w14:solidFill>
              <w14:schemeClr w14:val="tx1"/>
            </w14:solidFill>
          </w14:textFill>
        </w:rPr>
        <w:t>等。</w:t>
      </w:r>
      <w:bookmarkStart w:id="0" w:name="_GoBack"/>
      <w:bookmarkEnd w:id="0"/>
    </w:p>
    <w:p>
      <w:pPr>
        <w:pStyle w:val="5"/>
        <w:widowControl w:val="0"/>
        <w:adjustRightInd w:val="0"/>
        <w:snapToGrid w:val="0"/>
        <w:spacing w:after="0" w:line="520" w:lineRule="exact"/>
        <w:ind w:left="0" w:leftChars="0" w:right="-512" w:rightChars="-244"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每套设备免费提供设备使用说明书等资料。供方提供的技术资料中应包括各设备和部件的检验、试验、安装、运行和维护等方面的技术数据、说明书、有关图纸以及有关的规程、规范、标准及其它技术资料，交付类型：书面版及电子版（U盘存储）。</w:t>
      </w:r>
    </w:p>
    <w:p>
      <w:pPr>
        <w:pStyle w:val="5"/>
        <w:widowControl w:val="0"/>
        <w:adjustRightInd w:val="0"/>
        <w:snapToGrid w:val="0"/>
        <w:spacing w:after="0" w:line="520" w:lineRule="exact"/>
        <w:ind w:left="0" w:leftChars="0" w:right="-512" w:rightChars="-244"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4.交付分数：图纸和文件书面为4套，电子版（dwg和word等可编辑文档）为1套（中文）。</w:t>
      </w:r>
    </w:p>
    <w:p>
      <w:pPr>
        <w:pStyle w:val="5"/>
        <w:widowControl w:val="0"/>
        <w:adjustRightInd w:val="0"/>
        <w:snapToGrid w:val="0"/>
        <w:spacing w:after="0" w:line="520" w:lineRule="exact"/>
        <w:ind w:left="0" w:leftChars="0" w:right="-512" w:rightChars="-244"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5.在合同质保期内，如果系统发生由于设备本身质量问题而引起的故障和设备的损坏，供方将免费予以解决问题或免费更换损坏的部件。质保期后出现故障所需要更换的部件，供方应仅收取成本费用。</w:t>
      </w:r>
    </w:p>
    <w:p>
      <w:pPr>
        <w:pStyle w:val="5"/>
        <w:widowControl w:val="0"/>
        <w:adjustRightInd w:val="0"/>
        <w:snapToGrid w:val="0"/>
        <w:spacing w:after="0" w:line="520" w:lineRule="exact"/>
        <w:ind w:left="0" w:leftChars="0" w:right="-512" w:rightChars="-244"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 xml:space="preserve">6.质保期为到货后18个月或者设备最终调试验收之后12个月，二者以先到为准。 </w:t>
      </w:r>
    </w:p>
    <w:p>
      <w:pPr>
        <w:pStyle w:val="2"/>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7.对于设备故障，供方应在1小时内作出反应，重大问题供方应在当天安排技术人员赴现场解决。</w:t>
      </w:r>
    </w:p>
    <w:p>
      <w:pPr>
        <w:pStyle w:val="2"/>
        <w:rPr>
          <w:rFonts w:hint="eastAsia" w:ascii="宋体" w:hAnsi="宋体" w:eastAsia="宋体" w:cs="宋体"/>
          <w:color w:val="000000" w:themeColor="text1"/>
          <w:spacing w:val="4"/>
          <w:sz w:val="28"/>
          <w:szCs w:val="28"/>
          <w14:textFill>
            <w14:solidFill>
              <w14:schemeClr w14:val="tx1"/>
            </w14:solidFill>
          </w14:textFill>
        </w:rPr>
      </w:pPr>
    </w:p>
    <w:p>
      <w:pPr>
        <w:rPr>
          <w:rFonts w:hint="eastAsia" w:ascii="宋体" w:hAnsi="宋体" w:eastAsia="宋体" w:cs="宋体"/>
          <w:color w:val="000000" w:themeColor="text1"/>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D11C61"/>
    <w:multiLevelType w:val="singleLevel"/>
    <w:tmpl w:val="AED11C61"/>
    <w:lvl w:ilvl="0" w:tentative="0">
      <w:start w:val="1"/>
      <w:numFmt w:val="chineseCounting"/>
      <w:suff w:val="nothing"/>
      <w:lvlText w:val="%1、"/>
      <w:lvlJc w:val="left"/>
      <w:rPr>
        <w:rFonts w:hint="eastAsia"/>
      </w:rPr>
    </w:lvl>
  </w:abstractNum>
  <w:abstractNum w:abstractNumId="1">
    <w:nsid w:val="E707CD57"/>
    <w:multiLevelType w:val="singleLevel"/>
    <w:tmpl w:val="E707CD5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5YmRhZTczM2Q1NzU3Njc2NTgyNjJhODJiNTk5NzUifQ=="/>
  </w:docVars>
  <w:rsids>
    <w:rsidRoot w:val="00857691"/>
    <w:rsid w:val="001B776C"/>
    <w:rsid w:val="005A080E"/>
    <w:rsid w:val="007208E7"/>
    <w:rsid w:val="00857691"/>
    <w:rsid w:val="00A71440"/>
    <w:rsid w:val="00C770C1"/>
    <w:rsid w:val="00DB695C"/>
    <w:rsid w:val="00EE6E2F"/>
    <w:rsid w:val="00EF0713"/>
    <w:rsid w:val="00FD195C"/>
    <w:rsid w:val="023B6553"/>
    <w:rsid w:val="0A00672A"/>
    <w:rsid w:val="1E70711F"/>
    <w:rsid w:val="232A43C0"/>
    <w:rsid w:val="2FDE6A54"/>
    <w:rsid w:val="32F52CE9"/>
    <w:rsid w:val="345B14E2"/>
    <w:rsid w:val="396F3491"/>
    <w:rsid w:val="3D612F66"/>
    <w:rsid w:val="486A69ED"/>
    <w:rsid w:val="56275D9F"/>
    <w:rsid w:val="602F0FFF"/>
    <w:rsid w:val="606F7B5F"/>
    <w:rsid w:val="6ED30A35"/>
    <w:rsid w:val="716B13F9"/>
    <w:rsid w:val="716B57CE"/>
    <w:rsid w:val="720A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eastAsia="宋体" w:asciiTheme="minorHAnsi" w:hAnsiTheme="minorHAnsi" w:cstheme="minorBidi"/>
      <w:kern w:val="0"/>
      <w:sz w:val="21"/>
      <w:szCs w:val="22"/>
      <w:lang w:val="en-US" w:eastAsia="en-US" w:bidi="ar-SA"/>
      <w14:ligatures w14:val="none"/>
    </w:rPr>
  </w:style>
  <w:style w:type="paragraph" w:styleId="3">
    <w:name w:val="heading 2"/>
    <w:basedOn w:val="1"/>
    <w:next w:val="1"/>
    <w:link w:val="13"/>
    <w:unhideWhenUsed/>
    <w:qFormat/>
    <w:uiPriority w:val="1"/>
    <w:pPr>
      <w:keepNext/>
      <w:keepLines/>
      <w:spacing w:line="500" w:lineRule="exact"/>
      <w:ind w:firstLine="482" w:firstLineChars="200"/>
      <w:outlineLvl w:val="1"/>
    </w:pPr>
    <w:rPr>
      <w:rFonts w:asciiTheme="majorHAnsi" w:hAnsiTheme="majorHAnsi" w:cstheme="majorBidi"/>
      <w:b/>
      <w:bCs/>
      <w:sz w:val="2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500" w:lineRule="exact"/>
    </w:pPr>
    <w:rPr>
      <w:rFonts w:ascii="宋体" w:hAnsi="Times New Roman" w:eastAsia="宋体" w:cs="宋体"/>
      <w:color w:val="000000"/>
      <w:kern w:val="0"/>
      <w:sz w:val="24"/>
      <w:szCs w:val="24"/>
      <w:lang w:val="en-US" w:eastAsia="zh-CN" w:bidi="ar-SA"/>
      <w14:ligatures w14:val="none"/>
    </w:rPr>
  </w:style>
  <w:style w:type="paragraph" w:styleId="4">
    <w:name w:val="Normal Indent"/>
    <w:basedOn w:val="1"/>
    <w:qFormat/>
    <w:uiPriority w:val="0"/>
    <w:pPr>
      <w:ind w:firstLine="420"/>
      <w:jc w:val="both"/>
    </w:pPr>
    <w:rPr>
      <w:rFonts w:ascii="Times New Roman" w:hAnsi="Times New Roman" w:cs="Times New Roman"/>
      <w:kern w:val="2"/>
      <w:szCs w:val="20"/>
      <w:lang w:eastAsia="zh-CN"/>
    </w:rPr>
  </w:style>
  <w:style w:type="paragraph" w:styleId="5">
    <w:name w:val="Body Text Indent"/>
    <w:basedOn w:val="1"/>
    <w:link w:val="12"/>
    <w:qFormat/>
    <w:uiPriority w:val="0"/>
    <w:pPr>
      <w:widowControl/>
      <w:spacing w:after="120" w:line="500" w:lineRule="exact"/>
      <w:ind w:left="420" w:leftChars="200"/>
    </w:pPr>
    <w:rPr>
      <w:rFonts w:ascii="Times New Roman" w:hAnsi="Times New Roman" w:cs="Times New Roman"/>
      <w:kern w:val="2"/>
      <w:szCs w:val="24"/>
      <w:lang w:eastAsia="zh-CN"/>
    </w:rPr>
  </w:style>
  <w:style w:type="paragraph" w:styleId="6">
    <w:name w:val="footer"/>
    <w:basedOn w:val="1"/>
    <w:link w:val="11"/>
    <w:unhideWhenUsed/>
    <w:qFormat/>
    <w:uiPriority w:val="99"/>
    <w:pPr>
      <w:tabs>
        <w:tab w:val="center" w:pos="4153"/>
        <w:tab w:val="right" w:pos="8306"/>
      </w:tabs>
      <w:snapToGrid w:val="0"/>
    </w:pPr>
    <w:rPr>
      <w:sz w:val="18"/>
      <w:szCs w:val="18"/>
    </w:rPr>
  </w:style>
  <w:style w:type="paragraph" w:styleId="7">
    <w:name w:val="header"/>
    <w:basedOn w:val="1"/>
    <w:link w:val="10"/>
    <w:unhideWhenUsed/>
    <w:qFormat/>
    <w:uiPriority w:val="99"/>
    <w:pP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正文文本缩进 字符"/>
    <w:basedOn w:val="9"/>
    <w:link w:val="5"/>
    <w:qFormat/>
    <w:uiPriority w:val="0"/>
    <w:rPr>
      <w:rFonts w:ascii="Times New Roman" w:hAnsi="Times New Roman" w:eastAsia="宋体" w:cs="Times New Roman"/>
      <w:szCs w:val="24"/>
      <w14:ligatures w14:val="none"/>
    </w:rPr>
  </w:style>
  <w:style w:type="character" w:customStyle="1" w:styleId="13">
    <w:name w:val="标题 2 字符"/>
    <w:basedOn w:val="9"/>
    <w:link w:val="3"/>
    <w:qFormat/>
    <w:uiPriority w:val="1"/>
    <w:rPr>
      <w:rFonts w:eastAsia="宋体" w:asciiTheme="majorHAnsi" w:hAnsiTheme="majorHAnsi" w:cstheme="majorBidi"/>
      <w:b/>
      <w:bCs/>
      <w:kern w:val="0"/>
      <w:sz w:val="24"/>
      <w:szCs w:val="32"/>
      <w:lang w:eastAsia="en-US"/>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4BA05-2A88-452C-B4BE-662EA6915AAA}">
  <ds:schemaRefs/>
</ds:datastoreItem>
</file>

<file path=docProps/app.xml><?xml version="1.0" encoding="utf-8"?>
<Properties xmlns="http://schemas.openxmlformats.org/officeDocument/2006/extended-properties" xmlns:vt="http://schemas.openxmlformats.org/officeDocument/2006/docPropsVTypes">
  <Template>Normal</Template>
  <Pages>7</Pages>
  <Words>2734</Words>
  <Characters>3339</Characters>
  <Lines>31</Lines>
  <Paragraphs>8</Paragraphs>
  <TotalTime>127</TotalTime>
  <ScaleCrop>false</ScaleCrop>
  <LinksUpToDate>false</LinksUpToDate>
  <CharactersWithSpaces>3670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2023-07-25T04:18:00Z</dcterms:created>
  <dc:creator>攀 攀</dc:creator>
  <cp:lastModifiedBy>jdbwb</cp:lastModifiedBy>
  <dcterms:modified xsi:type="dcterms:W3CDTF">2023-10-30T07:31:19Z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79348BBFF05A417ABE926A4279972214_13</vt:lpwstr>
  </property>
</Properties>
</file>