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煤矿密闭空间无线监测系统技术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要求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240" w:after="24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Toc114477733"/>
      <w:bookmarkStart w:id="1" w:name="_Toc32011"/>
      <w:bookmarkStart w:id="2" w:name="_Toc59106925"/>
      <w:r>
        <w:rPr>
          <w:rFonts w:hint="eastAsia" w:ascii="宋体" w:hAnsi="宋体" w:eastAsia="宋体" w:cs="宋体"/>
          <w:sz w:val="28"/>
          <w:szCs w:val="28"/>
        </w:rPr>
        <w:t>技术</w:t>
      </w:r>
      <w:bookmarkEnd w:id="0"/>
      <w:r>
        <w:rPr>
          <w:rFonts w:hint="eastAsia" w:ascii="宋体" w:hAnsi="宋体" w:eastAsia="宋体" w:cs="宋体"/>
          <w:sz w:val="28"/>
          <w:szCs w:val="28"/>
        </w:rPr>
        <w:t>要求</w:t>
      </w:r>
    </w:p>
    <w:p>
      <w:pPr>
        <w:pStyle w:val="5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无线监测：系统须支持无线/有线等多种数据传输方式，确保井下复杂环境中的数据传输稳定性；</w:t>
      </w:r>
    </w:p>
    <w:p>
      <w:pPr>
        <w:pStyle w:val="5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监测种类：系统须支持CO、O</w:t>
      </w:r>
      <w:r>
        <w:rPr>
          <w:rFonts w:hint="eastAsia" w:ascii="宋体" w:hAnsi="宋体" w:eastAsia="宋体" w:cs="宋体"/>
          <w:sz w:val="28"/>
          <w:szCs w:val="28"/>
          <w:highlight w:val="none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、CH</w:t>
      </w:r>
      <w:r>
        <w:rPr>
          <w:rFonts w:hint="eastAsia" w:ascii="宋体" w:hAnsi="宋体" w:eastAsia="宋体" w:cs="宋体"/>
          <w:sz w:val="28"/>
          <w:szCs w:val="28"/>
          <w:highlight w:val="none"/>
          <w:vertAlign w:val="subscript"/>
        </w:rPr>
        <w:t>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、CO</w:t>
      </w:r>
      <w:r>
        <w:rPr>
          <w:rFonts w:hint="eastAsia" w:ascii="宋体" w:hAnsi="宋体" w:eastAsia="宋体" w:cs="宋体"/>
          <w:sz w:val="28"/>
          <w:szCs w:val="28"/>
          <w:highlight w:val="none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、C</w:t>
      </w:r>
      <w:r>
        <w:rPr>
          <w:rFonts w:hint="eastAsia" w:ascii="宋体" w:hAnsi="宋体" w:eastAsia="宋体" w:cs="宋体"/>
          <w:sz w:val="28"/>
          <w:szCs w:val="28"/>
          <w:highlight w:val="none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H</w:t>
      </w:r>
      <w:r>
        <w:rPr>
          <w:rFonts w:hint="eastAsia" w:ascii="宋体" w:hAnsi="宋体" w:eastAsia="宋体" w:cs="宋体"/>
          <w:sz w:val="28"/>
          <w:szCs w:val="28"/>
          <w:highlight w:val="none"/>
          <w:vertAlign w:val="subscript"/>
        </w:rPr>
        <w:t>2、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C</w:t>
      </w:r>
      <w:r>
        <w:rPr>
          <w:rFonts w:hint="eastAsia" w:ascii="宋体" w:hAnsi="宋体" w:eastAsia="宋体" w:cs="宋体"/>
          <w:sz w:val="28"/>
          <w:szCs w:val="28"/>
          <w:highlight w:val="none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H</w:t>
      </w:r>
      <w:r>
        <w:rPr>
          <w:rFonts w:hint="eastAsia" w:ascii="宋体" w:hAnsi="宋体" w:eastAsia="宋体" w:cs="宋体"/>
          <w:sz w:val="28"/>
          <w:szCs w:val="28"/>
          <w:highlight w:val="none"/>
          <w:vertAlign w:val="subscript"/>
        </w:rPr>
        <w:t>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、温度、压差等多种监测数据，综合监测多项指标进行横向分析；</w:t>
      </w:r>
    </w:p>
    <w:p>
      <w:pPr>
        <w:pStyle w:val="5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集成设计：传感器须集成本安型抽气泵，可将密闭区域气体抽取至传感器进行分析；须内置流量计、自动滤水器，确保监测准确性；</w:t>
      </w:r>
    </w:p>
    <w:p>
      <w:pPr>
        <w:pStyle w:val="5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电子排版：井下设备须内置显示屏，实时显示监测数据，免去人工抄写的繁重工作量；</w:t>
      </w:r>
    </w:p>
    <w:p>
      <w:pPr>
        <w:pStyle w:val="5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灵活部署：井下设备须支持电源供电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sz w:val="28"/>
          <w:szCs w:val="28"/>
        </w:rPr>
        <w:t>电池供电等多种供电方式，满足井下复杂环境的设备安装需求；</w:t>
      </w:r>
    </w:p>
    <w:p>
      <w:pPr>
        <w:pStyle w:val="5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560" w:leftChars="200" w:firstLine="140" w:firstLineChars="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低功耗设计：设备须具有休眠和工作两种状态，确保长时间稳定运行；</w:t>
      </w:r>
    </w:p>
    <w:p>
      <w:pPr>
        <w:pStyle w:val="5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560" w:leftChars="200" w:firstLine="140" w:firstLineChars="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无人值守设计：支持24小时在线监测，实现无人值守；</w:t>
      </w:r>
    </w:p>
    <w:p>
      <w:pPr>
        <w:pStyle w:val="5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数据分析：系统可自动将分析数据存入数据库，并可用数据库分析某一采样点的气体含量在一段时间内的变化趋势，支持图表化显示；</w:t>
      </w:r>
    </w:p>
    <w:p>
      <w:pPr>
        <w:pStyle w:val="5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9.</w:t>
      </w:r>
      <w:r>
        <w:rPr>
          <w:rFonts w:hint="eastAsia" w:ascii="宋体" w:hAnsi="宋体" w:eastAsia="宋体" w:cs="宋体"/>
          <w:sz w:val="28"/>
          <w:szCs w:val="28"/>
        </w:rPr>
        <w:t>自动报警：井上、井下应均具有气体含量、温度超限自动报警功能；</w:t>
      </w:r>
    </w:p>
    <w:p>
      <w:pPr>
        <w:pStyle w:val="5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10.</w:t>
      </w:r>
      <w:r>
        <w:rPr>
          <w:rFonts w:hint="eastAsia" w:ascii="宋体" w:hAnsi="宋体" w:eastAsia="宋体" w:cs="宋体"/>
          <w:sz w:val="28"/>
          <w:szCs w:val="28"/>
        </w:rPr>
        <w:t>数据共享：系统须具有联网功能，实现分析数据的共享，便于领导和调度人员对井下气体、温度的变化情况及时了解；</w:t>
      </w:r>
    </w:p>
    <w:bookmarkEnd w:id="1"/>
    <w:bookmarkEnd w:id="2"/>
    <w:p>
      <w:pPr>
        <w:pStyle w:val="5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11.</w:t>
      </w:r>
      <w:r>
        <w:rPr>
          <w:rFonts w:hint="eastAsia" w:ascii="宋体" w:hAnsi="宋体" w:eastAsia="宋体" w:cs="宋体"/>
          <w:sz w:val="28"/>
          <w:szCs w:val="28"/>
        </w:rPr>
        <w:t>智能预警：系统应支持监测数据阈值设置，超限数据自动报警；系统支持监测数据智能趋势分析，对于异常波动数据进行智能预警；</w:t>
      </w:r>
    </w:p>
    <w:p>
      <w:pPr>
        <w:pStyle w:val="5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12、</w:t>
      </w:r>
      <w:r>
        <w:rPr>
          <w:rFonts w:hint="eastAsia" w:cs="宋体"/>
          <w:color w:val="FF0000"/>
          <w:sz w:val="28"/>
          <w:szCs w:val="28"/>
          <w:u w:val="single"/>
          <w:lang w:val="en-US" w:eastAsia="zh-CN"/>
        </w:rPr>
        <w:t>能够监测矿井不低于20个密闭内数据。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240" w:after="240"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设计依据</w:t>
      </w:r>
    </w:p>
    <w:p>
      <w:pPr>
        <w:pStyle w:val="5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100" w:hanging="140" w:hangingChars="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本方案的设计依据、遵照的技术规范和标准，主要包括：</w:t>
      </w:r>
    </w:p>
    <w:p>
      <w:pPr>
        <w:pStyle w:val="5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《煤矿安全规程》（2016版）</w:t>
      </w:r>
    </w:p>
    <w:p>
      <w:pPr>
        <w:pStyle w:val="5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《煤矿安全监控系统通用技术要求》（AQ6201-2019）</w:t>
      </w:r>
    </w:p>
    <w:p>
      <w:pPr>
        <w:pStyle w:val="5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煤矿安全监控系统及监测仪器使用管理规范》（AQ1029-2019）</w:t>
      </w:r>
    </w:p>
    <w:p>
      <w:pPr>
        <w:pStyle w:val="5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《煤矿安全生产监控系统通用技术条件》（MT/T 1004-2006）</w:t>
      </w:r>
    </w:p>
    <w:p>
      <w:pPr>
        <w:pStyle w:val="5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《矿用产品安全标志标识》（AQ 1043-2007）</w:t>
      </w:r>
    </w:p>
    <w:p>
      <w:pPr>
        <w:pStyle w:val="5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</w:rPr>
        <w:t>其它按国家、省、集团公司及煤矿企业有关规范标准执行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\</w:t>
      </w:r>
    </w:p>
    <w:p>
      <w:pPr>
        <w:pStyle w:val="4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5.1</w:t>
      </w:r>
      <w:r>
        <w:rPr>
          <w:rFonts w:hint="eastAsia" w:ascii="宋体" w:hAnsi="宋体" w:eastAsia="宋体" w:cs="宋体"/>
          <w:sz w:val="28"/>
          <w:szCs w:val="28"/>
        </w:rPr>
        <w:t>技术指标</w:t>
      </w:r>
    </w:p>
    <w:tbl>
      <w:tblPr>
        <w:tblStyle w:val="60"/>
        <w:tblpPr w:leftFromText="180" w:rightFromText="180" w:vertAnchor="text" w:horzAnchor="page" w:tblpX="1083" w:tblpY="534"/>
        <w:tblOverlap w:val="never"/>
        <w:tblW w:w="9452" w:type="dxa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09"/>
        <w:gridCol w:w="1755"/>
        <w:gridCol w:w="1271"/>
        <w:gridCol w:w="1704"/>
        <w:gridCol w:w="311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8" w:type="dxa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  <w:noWrap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8"/>
                <w:szCs w:val="28"/>
                <w:lang w:bidi="ar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</w:tc>
        <w:tc>
          <w:tcPr>
            <w:tcW w:w="1109" w:type="dxa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8"/>
                <w:szCs w:val="28"/>
                <w:lang w:bidi="ar"/>
                <w14:textFill>
                  <w14:solidFill>
                    <w14:schemeClr w14:val="bg1"/>
                  </w14:solidFill>
                </w14:textFill>
              </w:rPr>
              <w:t>测量种类</w:t>
            </w:r>
          </w:p>
        </w:tc>
        <w:tc>
          <w:tcPr>
            <w:tcW w:w="1755" w:type="dxa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8"/>
                <w:szCs w:val="28"/>
                <w:lang w:bidi="ar"/>
                <w14:textFill>
                  <w14:solidFill>
                    <w14:schemeClr w14:val="bg1"/>
                  </w14:solidFill>
                </w14:textFill>
              </w:rPr>
              <w:t>测量范围</w:t>
            </w:r>
          </w:p>
        </w:tc>
        <w:tc>
          <w:tcPr>
            <w:tcW w:w="1271" w:type="dxa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8"/>
                <w:szCs w:val="28"/>
                <w:lang w:bidi="ar"/>
                <w14:textFill>
                  <w14:solidFill>
                    <w14:schemeClr w14:val="bg1"/>
                  </w14:solidFill>
                </w14:textFill>
              </w:rPr>
              <w:t>分辨率</w:t>
            </w:r>
          </w:p>
        </w:tc>
        <w:tc>
          <w:tcPr>
            <w:tcW w:w="4819" w:type="dxa"/>
            <w:gridSpan w:val="2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8"/>
                <w:szCs w:val="28"/>
                <w:lang w:bidi="ar"/>
                <w14:textFill>
                  <w14:solidFill>
                    <w14:schemeClr w14:val="bg1"/>
                  </w14:solidFill>
                </w14:textFill>
              </w:rPr>
              <w:t>基本误差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98" w:type="dxa"/>
            <w:vMerge w:val="restart"/>
            <w:shd w:val="clear" w:color="auto" w:fill="DBE5F1" w:themeFill="accent1" w:themeFillTint="33"/>
            <w:noWrap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109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CO</w:t>
            </w:r>
          </w:p>
        </w:tc>
        <w:tc>
          <w:tcPr>
            <w:tcW w:w="1755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0～1000ppm</w:t>
            </w:r>
          </w:p>
        </w:tc>
        <w:tc>
          <w:tcPr>
            <w:tcW w:w="1271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1ppm</w:t>
            </w:r>
          </w:p>
        </w:tc>
        <w:tc>
          <w:tcPr>
            <w:tcW w:w="1704" w:type="dxa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0-100ppm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±4ppm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" w:type="dxa"/>
            <w:vMerge w:val="continue"/>
            <w:shd w:val="clear" w:color="auto" w:fill="DBE5F1" w:themeFill="accent1" w:themeFillTint="33"/>
            <w:noWrap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9" w:type="dxa"/>
            <w:vMerge w:val="continue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1" w:type="dxa"/>
            <w:vMerge w:val="continue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100-500ppm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真值的±5%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8" w:type="dxa"/>
            <w:vMerge w:val="continue"/>
            <w:noWrap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500-1000ppm</w:t>
            </w:r>
          </w:p>
        </w:tc>
        <w:tc>
          <w:tcPr>
            <w:tcW w:w="3115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真值的±6%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98" w:type="dxa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109" w:type="dxa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O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bscript"/>
                <w:lang w:bidi="ar"/>
              </w:rPr>
              <w:t>2</w:t>
            </w:r>
          </w:p>
        </w:tc>
        <w:tc>
          <w:tcPr>
            <w:tcW w:w="1755" w:type="dxa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0～25%</w:t>
            </w:r>
          </w:p>
        </w:tc>
        <w:tc>
          <w:tcPr>
            <w:tcW w:w="1271" w:type="dxa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0.10%</w:t>
            </w:r>
          </w:p>
        </w:tc>
        <w:tc>
          <w:tcPr>
            <w:tcW w:w="4819" w:type="dxa"/>
            <w:gridSpan w:val="2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量程的±3%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98" w:type="dxa"/>
            <w:vMerge w:val="restart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CH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bscript"/>
                <w:lang w:bidi="ar"/>
              </w:rPr>
              <w:t>4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0～100%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0.01%</w:t>
            </w:r>
          </w:p>
        </w:tc>
        <w:tc>
          <w:tcPr>
            <w:tcW w:w="1704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0.00%-1.00%</w:t>
            </w:r>
          </w:p>
        </w:tc>
        <w:tc>
          <w:tcPr>
            <w:tcW w:w="3115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±0.06%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98" w:type="dxa"/>
            <w:vMerge w:val="continue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9" w:type="dxa"/>
            <w:vMerge w:val="continue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1" w:type="dxa"/>
            <w:vMerge w:val="continue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1.00%-100.00%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真值的±0.6%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98" w:type="dxa"/>
            <w:vMerge w:val="restart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CO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bscript"/>
                <w:lang w:bidi="ar"/>
              </w:rPr>
              <w:t>2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0-5%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0.01%</w:t>
            </w:r>
          </w:p>
        </w:tc>
        <w:tc>
          <w:tcPr>
            <w:tcW w:w="1704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0.00%-0.50%</w:t>
            </w:r>
          </w:p>
        </w:tc>
        <w:tc>
          <w:tcPr>
            <w:tcW w:w="3115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±0.10%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98" w:type="dxa"/>
            <w:vMerge w:val="continue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9" w:type="dxa"/>
            <w:vMerge w:val="continue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1" w:type="dxa"/>
            <w:vMerge w:val="continue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0.51%-5.00%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±（0.05+真值的5%）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98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09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H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0～200</w:t>
            </w:r>
          </w:p>
        </w:tc>
        <w:tc>
          <w:tcPr>
            <w:tcW w:w="127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1ppm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真值的±5%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98" w:type="dxa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09" w:type="dxa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H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755" w:type="dxa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0～200</w:t>
            </w:r>
          </w:p>
        </w:tc>
        <w:tc>
          <w:tcPr>
            <w:tcW w:w="1271" w:type="dxa"/>
            <w:shd w:val="clear" w:color="auto" w:fill="DBE5F1" w:themeFill="accent1" w:themeFillTint="3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1ppm</w:t>
            </w:r>
          </w:p>
        </w:tc>
        <w:tc>
          <w:tcPr>
            <w:tcW w:w="4819" w:type="dxa"/>
            <w:gridSpan w:val="2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真值的±5%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8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109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温度</w:t>
            </w:r>
          </w:p>
        </w:tc>
        <w:tc>
          <w:tcPr>
            <w:tcW w:w="1755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0～100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C</w:t>
            </w:r>
          </w:p>
        </w:tc>
        <w:tc>
          <w:tcPr>
            <w:tcW w:w="1271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0.1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C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±2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C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8" w:type="dxa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109" w:type="dxa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压差</w:t>
            </w:r>
          </w:p>
        </w:tc>
        <w:tc>
          <w:tcPr>
            <w:tcW w:w="1755" w:type="dxa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±7Kpa</w:t>
            </w:r>
          </w:p>
        </w:tc>
        <w:tc>
          <w:tcPr>
            <w:tcW w:w="1271" w:type="dxa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0.01</w:t>
            </w:r>
          </w:p>
        </w:tc>
        <w:tc>
          <w:tcPr>
            <w:tcW w:w="4819" w:type="dxa"/>
            <w:gridSpan w:val="2"/>
            <w:shd w:val="clear" w:color="auto" w:fill="DBE5F1" w:themeFill="accent1" w:themeFillTint="33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±1%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240" w:after="240"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3" w:name="_Toc5910692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sz w:val="28"/>
          <w:szCs w:val="28"/>
        </w:rPr>
        <w:t>设备清单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tbl>
      <w:tblPr>
        <w:tblStyle w:val="18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675"/>
        <w:gridCol w:w="1933"/>
        <w:gridCol w:w="72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670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4675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分项名称</w:t>
            </w:r>
          </w:p>
        </w:tc>
        <w:tc>
          <w:tcPr>
            <w:tcW w:w="1933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规格型号</w:t>
            </w:r>
          </w:p>
        </w:tc>
        <w:tc>
          <w:tcPr>
            <w:tcW w:w="726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670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4675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煤矿密闭区火灾监测系统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含软件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33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套</w:t>
            </w:r>
          </w:p>
        </w:tc>
        <w:tc>
          <w:tcPr>
            <w:tcW w:w="851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670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4675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工控机</w:t>
            </w:r>
          </w:p>
        </w:tc>
        <w:tc>
          <w:tcPr>
            <w:tcW w:w="1933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IPC-610L（AIMB-705VG/I7</w:t>
            </w:r>
          </w:p>
        </w:tc>
        <w:tc>
          <w:tcPr>
            <w:tcW w:w="726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75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打印机</w:t>
            </w:r>
          </w:p>
        </w:tc>
        <w:tc>
          <w:tcPr>
            <w:tcW w:w="1933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A4 幅面</w:t>
            </w:r>
          </w:p>
        </w:tc>
        <w:tc>
          <w:tcPr>
            <w:tcW w:w="726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75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交换机</w:t>
            </w:r>
          </w:p>
        </w:tc>
        <w:tc>
          <w:tcPr>
            <w:tcW w:w="1933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KJJ24</w:t>
            </w:r>
          </w:p>
        </w:tc>
        <w:tc>
          <w:tcPr>
            <w:tcW w:w="726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75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矿用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光缆</w:t>
            </w:r>
          </w:p>
        </w:tc>
        <w:tc>
          <w:tcPr>
            <w:tcW w:w="1933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8芯</w:t>
            </w:r>
          </w:p>
        </w:tc>
        <w:tc>
          <w:tcPr>
            <w:tcW w:w="726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米</w:t>
            </w:r>
          </w:p>
        </w:tc>
        <w:tc>
          <w:tcPr>
            <w:tcW w:w="851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75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光纤接线盒</w:t>
            </w:r>
          </w:p>
        </w:tc>
        <w:tc>
          <w:tcPr>
            <w:tcW w:w="1933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FHG4</w:t>
            </w:r>
          </w:p>
        </w:tc>
        <w:tc>
          <w:tcPr>
            <w:tcW w:w="726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675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单管</w:t>
            </w:r>
          </w:p>
        </w:tc>
        <w:tc>
          <w:tcPr>
            <w:tcW w:w="1933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φ8</w:t>
            </w:r>
          </w:p>
        </w:tc>
        <w:tc>
          <w:tcPr>
            <w:tcW w:w="726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851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670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675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束管接头</w:t>
            </w:r>
          </w:p>
        </w:tc>
        <w:tc>
          <w:tcPr>
            <w:tcW w:w="1933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φ8</w:t>
            </w:r>
          </w:p>
        </w:tc>
        <w:tc>
          <w:tcPr>
            <w:tcW w:w="726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670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675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光纤熔接机</w:t>
            </w:r>
          </w:p>
        </w:tc>
        <w:tc>
          <w:tcPr>
            <w:tcW w:w="1933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bookmarkStart w:id="5" w:name="_GoBack"/>
            <w:bookmarkEnd w:id="5"/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240" w:after="240"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4" w:name="_Toc11447773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sz w:val="28"/>
          <w:szCs w:val="28"/>
        </w:rPr>
        <w:t>售后服务</w:t>
      </w:r>
      <w:bookmarkEnd w:id="3"/>
      <w:bookmarkEnd w:id="4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1．质量保证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须保证所供货物均按有关国家标准生产和检验，完全符合国家相关法律法规及合同条款规定的质量、规格和性能要求，出厂之前经严格检验，包装良好，可以避免一般装卸引起的零部件不良。设备在正确安装、正常运转和保养条件下，在使用期内具有满意的性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2．质保期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自工程竣工验收之日起12个月。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3．质保期内服务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质保期内执行国家工业产品售后服务的有关规定，在此期间若接到用户报修的函电时，2小时内做出响应，一般性故障72小时内到达现场，紧急事件24小时内到达现场，保证故障在48小时内排除，质保期内非买方原因造成的设备损坏的经济损失由卖方承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4．质保期外服务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质保期外若接到用户报修的函电时，2小时内做出响应，一般性故障72小时内到达现场，紧急事件24小时内到达现场，保证故障在48小时内排除故障，对系统及设备进行维护或维修时，只收取成本费。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5．其他承诺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（1）对系统改制、扩容、拆点等不同要求，应及时、准确地予以技术支持；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（2）定期免费对矿方相关人员进行专业操作培训。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080" w:bottom="1134" w:left="1083" w:header="708" w:footer="709" w:gutter="0"/>
      <w:pgNumType w:start="1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9072764"/>
      <w:docPartObj>
        <w:docPartGallery w:val="autotext"/>
      </w:docPartObj>
    </w:sdtPr>
    <w:sdtContent>
      <w:p>
        <w:pPr>
          <w:pStyle w:val="14"/>
          <w:ind w:firstLine="4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B39EA"/>
    <w:multiLevelType w:val="multilevel"/>
    <w:tmpl w:val="295B39EA"/>
    <w:lvl w:ilvl="0" w:tentative="0">
      <w:start w:val="1"/>
      <w:numFmt w:val="decimal"/>
      <w:pStyle w:val="33"/>
      <w:lvlText w:val="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C00328E"/>
    <w:multiLevelType w:val="multilevel"/>
    <w:tmpl w:val="2C00328E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5"/>
      <w:isLgl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34F266E6"/>
    <w:multiLevelType w:val="multilevel"/>
    <w:tmpl w:val="34F266E6"/>
    <w:lvl w:ilvl="0" w:tentative="0">
      <w:start w:val="1"/>
      <w:numFmt w:val="bullet"/>
      <w:pStyle w:val="55"/>
      <w:lvlText w:val=""/>
      <w:lvlJc w:val="left"/>
      <w:pPr>
        <w:ind w:left="11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5YmRhZTczM2Q1NzU3Njc2NTgyNjJhODJiNTk5NzUifQ=="/>
  </w:docVars>
  <w:rsids>
    <w:rsidRoot w:val="00D31D50"/>
    <w:rsid w:val="0000298F"/>
    <w:rsid w:val="00002A30"/>
    <w:rsid w:val="00003AB0"/>
    <w:rsid w:val="000317BC"/>
    <w:rsid w:val="0003429C"/>
    <w:rsid w:val="00036A28"/>
    <w:rsid w:val="000408A0"/>
    <w:rsid w:val="00043B86"/>
    <w:rsid w:val="00047399"/>
    <w:rsid w:val="00055D7D"/>
    <w:rsid w:val="00056FBA"/>
    <w:rsid w:val="00064825"/>
    <w:rsid w:val="000754A8"/>
    <w:rsid w:val="000762E5"/>
    <w:rsid w:val="00086AEC"/>
    <w:rsid w:val="000876A4"/>
    <w:rsid w:val="00093858"/>
    <w:rsid w:val="000B4F85"/>
    <w:rsid w:val="000B6851"/>
    <w:rsid w:val="000C1765"/>
    <w:rsid w:val="000D17AB"/>
    <w:rsid w:val="000D4872"/>
    <w:rsid w:val="000D7ACA"/>
    <w:rsid w:val="000D7E64"/>
    <w:rsid w:val="000F5895"/>
    <w:rsid w:val="000F6C66"/>
    <w:rsid w:val="0011708D"/>
    <w:rsid w:val="0014414C"/>
    <w:rsid w:val="00153EC0"/>
    <w:rsid w:val="001541AD"/>
    <w:rsid w:val="00160C7D"/>
    <w:rsid w:val="001642CD"/>
    <w:rsid w:val="00170AE2"/>
    <w:rsid w:val="00175405"/>
    <w:rsid w:val="0017766E"/>
    <w:rsid w:val="00180041"/>
    <w:rsid w:val="00181C8B"/>
    <w:rsid w:val="00183365"/>
    <w:rsid w:val="001945A1"/>
    <w:rsid w:val="001A1914"/>
    <w:rsid w:val="001A1D44"/>
    <w:rsid w:val="001C081A"/>
    <w:rsid w:val="001C218E"/>
    <w:rsid w:val="001C2772"/>
    <w:rsid w:val="001C2AD9"/>
    <w:rsid w:val="001E10A1"/>
    <w:rsid w:val="001E3577"/>
    <w:rsid w:val="001E507E"/>
    <w:rsid w:val="002030F9"/>
    <w:rsid w:val="00220CF1"/>
    <w:rsid w:val="00225F73"/>
    <w:rsid w:val="00227ACF"/>
    <w:rsid w:val="00232016"/>
    <w:rsid w:val="00232BB4"/>
    <w:rsid w:val="002352F5"/>
    <w:rsid w:val="00245121"/>
    <w:rsid w:val="002657A9"/>
    <w:rsid w:val="00275254"/>
    <w:rsid w:val="002756EB"/>
    <w:rsid w:val="0027737E"/>
    <w:rsid w:val="002927EC"/>
    <w:rsid w:val="00294AC6"/>
    <w:rsid w:val="00297F9C"/>
    <w:rsid w:val="002A4119"/>
    <w:rsid w:val="002A52F5"/>
    <w:rsid w:val="002B0A80"/>
    <w:rsid w:val="002B39AC"/>
    <w:rsid w:val="002B42A3"/>
    <w:rsid w:val="002B7FA4"/>
    <w:rsid w:val="002C1DBC"/>
    <w:rsid w:val="002C1E48"/>
    <w:rsid w:val="002D70A7"/>
    <w:rsid w:val="002E4A8D"/>
    <w:rsid w:val="003016E4"/>
    <w:rsid w:val="00305886"/>
    <w:rsid w:val="00314F49"/>
    <w:rsid w:val="00323B43"/>
    <w:rsid w:val="00330A6A"/>
    <w:rsid w:val="00344614"/>
    <w:rsid w:val="00344A97"/>
    <w:rsid w:val="003463C4"/>
    <w:rsid w:val="0034682C"/>
    <w:rsid w:val="00350161"/>
    <w:rsid w:val="003519C8"/>
    <w:rsid w:val="00364C9A"/>
    <w:rsid w:val="00366BA3"/>
    <w:rsid w:val="003712F7"/>
    <w:rsid w:val="0037600F"/>
    <w:rsid w:val="0038400E"/>
    <w:rsid w:val="003879F7"/>
    <w:rsid w:val="0039451F"/>
    <w:rsid w:val="003A032C"/>
    <w:rsid w:val="003B4F7C"/>
    <w:rsid w:val="003C75C5"/>
    <w:rsid w:val="003C76D4"/>
    <w:rsid w:val="003D37D8"/>
    <w:rsid w:val="003D4792"/>
    <w:rsid w:val="003D6F1E"/>
    <w:rsid w:val="003E5B3C"/>
    <w:rsid w:val="003E61AE"/>
    <w:rsid w:val="003E7325"/>
    <w:rsid w:val="003F279C"/>
    <w:rsid w:val="003F7505"/>
    <w:rsid w:val="004058E9"/>
    <w:rsid w:val="0040708C"/>
    <w:rsid w:val="00410C96"/>
    <w:rsid w:val="00417FE3"/>
    <w:rsid w:val="00420454"/>
    <w:rsid w:val="00421AD3"/>
    <w:rsid w:val="00424B24"/>
    <w:rsid w:val="0042529E"/>
    <w:rsid w:val="00426133"/>
    <w:rsid w:val="00426630"/>
    <w:rsid w:val="004358AB"/>
    <w:rsid w:val="00436874"/>
    <w:rsid w:val="00445CD0"/>
    <w:rsid w:val="00446EBE"/>
    <w:rsid w:val="00453B5B"/>
    <w:rsid w:val="00463236"/>
    <w:rsid w:val="0047101C"/>
    <w:rsid w:val="00472747"/>
    <w:rsid w:val="00477C14"/>
    <w:rsid w:val="00485DB7"/>
    <w:rsid w:val="0048703E"/>
    <w:rsid w:val="004875B4"/>
    <w:rsid w:val="004929C3"/>
    <w:rsid w:val="004A3C3A"/>
    <w:rsid w:val="004A7E74"/>
    <w:rsid w:val="004B7E6D"/>
    <w:rsid w:val="004C0B57"/>
    <w:rsid w:val="004C47FB"/>
    <w:rsid w:val="004D52C7"/>
    <w:rsid w:val="004D5E7D"/>
    <w:rsid w:val="004E2FD9"/>
    <w:rsid w:val="004E5BCE"/>
    <w:rsid w:val="004E72B9"/>
    <w:rsid w:val="004F3164"/>
    <w:rsid w:val="004F3627"/>
    <w:rsid w:val="0050028B"/>
    <w:rsid w:val="00507F4F"/>
    <w:rsid w:val="00511160"/>
    <w:rsid w:val="00511CB3"/>
    <w:rsid w:val="00512DA6"/>
    <w:rsid w:val="005141DB"/>
    <w:rsid w:val="00514831"/>
    <w:rsid w:val="005269AC"/>
    <w:rsid w:val="00530B94"/>
    <w:rsid w:val="005503B7"/>
    <w:rsid w:val="00564A42"/>
    <w:rsid w:val="005657EC"/>
    <w:rsid w:val="00573913"/>
    <w:rsid w:val="00582732"/>
    <w:rsid w:val="00585F56"/>
    <w:rsid w:val="00590FAB"/>
    <w:rsid w:val="005967EC"/>
    <w:rsid w:val="0059779A"/>
    <w:rsid w:val="005B0506"/>
    <w:rsid w:val="005B0B0E"/>
    <w:rsid w:val="005B34EA"/>
    <w:rsid w:val="005B5FB0"/>
    <w:rsid w:val="005B6A3D"/>
    <w:rsid w:val="005B76E7"/>
    <w:rsid w:val="005C0CA0"/>
    <w:rsid w:val="005C2355"/>
    <w:rsid w:val="005C55A4"/>
    <w:rsid w:val="005C560F"/>
    <w:rsid w:val="005D1036"/>
    <w:rsid w:val="005D1442"/>
    <w:rsid w:val="005E29C3"/>
    <w:rsid w:val="005E4F43"/>
    <w:rsid w:val="00602A0A"/>
    <w:rsid w:val="0060702A"/>
    <w:rsid w:val="00626975"/>
    <w:rsid w:val="0063009E"/>
    <w:rsid w:val="00634DAE"/>
    <w:rsid w:val="006358ED"/>
    <w:rsid w:val="00636E7B"/>
    <w:rsid w:val="00641A6D"/>
    <w:rsid w:val="006533B4"/>
    <w:rsid w:val="00653F04"/>
    <w:rsid w:val="00661FEA"/>
    <w:rsid w:val="00666345"/>
    <w:rsid w:val="006675A0"/>
    <w:rsid w:val="00670DDE"/>
    <w:rsid w:val="0068185C"/>
    <w:rsid w:val="00681E7A"/>
    <w:rsid w:val="00683878"/>
    <w:rsid w:val="00694E99"/>
    <w:rsid w:val="00696422"/>
    <w:rsid w:val="00696906"/>
    <w:rsid w:val="006973DC"/>
    <w:rsid w:val="006B335E"/>
    <w:rsid w:val="006B4D05"/>
    <w:rsid w:val="006B5A87"/>
    <w:rsid w:val="006C13D8"/>
    <w:rsid w:val="006C190A"/>
    <w:rsid w:val="006C4FD7"/>
    <w:rsid w:val="006D080C"/>
    <w:rsid w:val="006D2458"/>
    <w:rsid w:val="006E5D57"/>
    <w:rsid w:val="006E6F41"/>
    <w:rsid w:val="00711F31"/>
    <w:rsid w:val="00712F5B"/>
    <w:rsid w:val="00720979"/>
    <w:rsid w:val="00724C18"/>
    <w:rsid w:val="00727FE5"/>
    <w:rsid w:val="0073275A"/>
    <w:rsid w:val="00732ADE"/>
    <w:rsid w:val="00732F48"/>
    <w:rsid w:val="0073333C"/>
    <w:rsid w:val="00737770"/>
    <w:rsid w:val="00746588"/>
    <w:rsid w:val="0076377D"/>
    <w:rsid w:val="00766984"/>
    <w:rsid w:val="0076712C"/>
    <w:rsid w:val="00770AC4"/>
    <w:rsid w:val="00774565"/>
    <w:rsid w:val="007768A2"/>
    <w:rsid w:val="0079068B"/>
    <w:rsid w:val="00790AB7"/>
    <w:rsid w:val="007A41F6"/>
    <w:rsid w:val="007B2E10"/>
    <w:rsid w:val="007B3314"/>
    <w:rsid w:val="007C48B5"/>
    <w:rsid w:val="007C5642"/>
    <w:rsid w:val="007D16F4"/>
    <w:rsid w:val="007E21DF"/>
    <w:rsid w:val="007F0F45"/>
    <w:rsid w:val="007F512D"/>
    <w:rsid w:val="007F58C6"/>
    <w:rsid w:val="007F62E8"/>
    <w:rsid w:val="00800EFD"/>
    <w:rsid w:val="00801003"/>
    <w:rsid w:val="00802B0C"/>
    <w:rsid w:val="0080478D"/>
    <w:rsid w:val="00805EDF"/>
    <w:rsid w:val="00812915"/>
    <w:rsid w:val="00813D4C"/>
    <w:rsid w:val="0082197B"/>
    <w:rsid w:val="00824858"/>
    <w:rsid w:val="00832202"/>
    <w:rsid w:val="00834096"/>
    <w:rsid w:val="00841ECF"/>
    <w:rsid w:val="00847919"/>
    <w:rsid w:val="00850772"/>
    <w:rsid w:val="008516FC"/>
    <w:rsid w:val="008610E3"/>
    <w:rsid w:val="00861BD2"/>
    <w:rsid w:val="00862C48"/>
    <w:rsid w:val="00865FD5"/>
    <w:rsid w:val="0086680E"/>
    <w:rsid w:val="00870665"/>
    <w:rsid w:val="008750D5"/>
    <w:rsid w:val="008759E6"/>
    <w:rsid w:val="00886B22"/>
    <w:rsid w:val="00893698"/>
    <w:rsid w:val="00893EE3"/>
    <w:rsid w:val="00894E5C"/>
    <w:rsid w:val="008B48D2"/>
    <w:rsid w:val="008B7726"/>
    <w:rsid w:val="008C0ED6"/>
    <w:rsid w:val="008C732E"/>
    <w:rsid w:val="008C78F0"/>
    <w:rsid w:val="008D4E76"/>
    <w:rsid w:val="008D623E"/>
    <w:rsid w:val="008E37AC"/>
    <w:rsid w:val="008E4A3E"/>
    <w:rsid w:val="008E59E6"/>
    <w:rsid w:val="008F3B2A"/>
    <w:rsid w:val="008F772C"/>
    <w:rsid w:val="00901823"/>
    <w:rsid w:val="0090349C"/>
    <w:rsid w:val="009144C9"/>
    <w:rsid w:val="00931305"/>
    <w:rsid w:val="009332FB"/>
    <w:rsid w:val="00934C5F"/>
    <w:rsid w:val="00937160"/>
    <w:rsid w:val="00946277"/>
    <w:rsid w:val="00954697"/>
    <w:rsid w:val="0095510E"/>
    <w:rsid w:val="00955129"/>
    <w:rsid w:val="009666C2"/>
    <w:rsid w:val="00966DAE"/>
    <w:rsid w:val="00974780"/>
    <w:rsid w:val="009812E9"/>
    <w:rsid w:val="00982B5F"/>
    <w:rsid w:val="009A162A"/>
    <w:rsid w:val="009A270C"/>
    <w:rsid w:val="009A3D20"/>
    <w:rsid w:val="009A6317"/>
    <w:rsid w:val="009B68DA"/>
    <w:rsid w:val="009B787F"/>
    <w:rsid w:val="009C6DB9"/>
    <w:rsid w:val="009D2CF5"/>
    <w:rsid w:val="009D633B"/>
    <w:rsid w:val="009E0D34"/>
    <w:rsid w:val="009E7B1A"/>
    <w:rsid w:val="009F17E2"/>
    <w:rsid w:val="009F32DF"/>
    <w:rsid w:val="009F4D3B"/>
    <w:rsid w:val="009F6C85"/>
    <w:rsid w:val="00A13081"/>
    <w:rsid w:val="00A2365A"/>
    <w:rsid w:val="00A25BA5"/>
    <w:rsid w:val="00A34EE1"/>
    <w:rsid w:val="00A35FF2"/>
    <w:rsid w:val="00A3776D"/>
    <w:rsid w:val="00A43524"/>
    <w:rsid w:val="00A46152"/>
    <w:rsid w:val="00A75B07"/>
    <w:rsid w:val="00A810B2"/>
    <w:rsid w:val="00A82A4E"/>
    <w:rsid w:val="00A86870"/>
    <w:rsid w:val="00A86F46"/>
    <w:rsid w:val="00A8757F"/>
    <w:rsid w:val="00A930E0"/>
    <w:rsid w:val="00A93F83"/>
    <w:rsid w:val="00A94E9B"/>
    <w:rsid w:val="00AA30C2"/>
    <w:rsid w:val="00AB09B8"/>
    <w:rsid w:val="00AB4DA0"/>
    <w:rsid w:val="00AB717E"/>
    <w:rsid w:val="00AC1340"/>
    <w:rsid w:val="00AD0A95"/>
    <w:rsid w:val="00AE1DB0"/>
    <w:rsid w:val="00AE383F"/>
    <w:rsid w:val="00AE4B07"/>
    <w:rsid w:val="00AE6E81"/>
    <w:rsid w:val="00AF3FC8"/>
    <w:rsid w:val="00AF5F80"/>
    <w:rsid w:val="00B003A2"/>
    <w:rsid w:val="00B0506D"/>
    <w:rsid w:val="00B1196F"/>
    <w:rsid w:val="00B20D89"/>
    <w:rsid w:val="00B27BAC"/>
    <w:rsid w:val="00B428BE"/>
    <w:rsid w:val="00B5113D"/>
    <w:rsid w:val="00B539D6"/>
    <w:rsid w:val="00B56FD9"/>
    <w:rsid w:val="00B63385"/>
    <w:rsid w:val="00B64343"/>
    <w:rsid w:val="00B91733"/>
    <w:rsid w:val="00B932D8"/>
    <w:rsid w:val="00B93B44"/>
    <w:rsid w:val="00B966F5"/>
    <w:rsid w:val="00BA4469"/>
    <w:rsid w:val="00BA7912"/>
    <w:rsid w:val="00BB27B0"/>
    <w:rsid w:val="00BB74F9"/>
    <w:rsid w:val="00BD2711"/>
    <w:rsid w:val="00BD7D1D"/>
    <w:rsid w:val="00BE6ED7"/>
    <w:rsid w:val="00BF3F63"/>
    <w:rsid w:val="00C0184F"/>
    <w:rsid w:val="00C03EE3"/>
    <w:rsid w:val="00C11055"/>
    <w:rsid w:val="00C13583"/>
    <w:rsid w:val="00C16338"/>
    <w:rsid w:val="00C171B5"/>
    <w:rsid w:val="00C17375"/>
    <w:rsid w:val="00C37396"/>
    <w:rsid w:val="00C40681"/>
    <w:rsid w:val="00C4345C"/>
    <w:rsid w:val="00C51D67"/>
    <w:rsid w:val="00C636A4"/>
    <w:rsid w:val="00C6370E"/>
    <w:rsid w:val="00C65017"/>
    <w:rsid w:val="00C66DED"/>
    <w:rsid w:val="00C75E9A"/>
    <w:rsid w:val="00C82F5C"/>
    <w:rsid w:val="00C83CAD"/>
    <w:rsid w:val="00C851E0"/>
    <w:rsid w:val="00C95E0B"/>
    <w:rsid w:val="00CA0C1B"/>
    <w:rsid w:val="00CA26DE"/>
    <w:rsid w:val="00CB100C"/>
    <w:rsid w:val="00CC6349"/>
    <w:rsid w:val="00CD3E20"/>
    <w:rsid w:val="00CE05FC"/>
    <w:rsid w:val="00CE2421"/>
    <w:rsid w:val="00CF2C96"/>
    <w:rsid w:val="00D0342E"/>
    <w:rsid w:val="00D171ED"/>
    <w:rsid w:val="00D308F2"/>
    <w:rsid w:val="00D31D50"/>
    <w:rsid w:val="00D37DDE"/>
    <w:rsid w:val="00D52A8B"/>
    <w:rsid w:val="00D53280"/>
    <w:rsid w:val="00D6024E"/>
    <w:rsid w:val="00D63153"/>
    <w:rsid w:val="00D72603"/>
    <w:rsid w:val="00D80115"/>
    <w:rsid w:val="00D82B3C"/>
    <w:rsid w:val="00D82E4E"/>
    <w:rsid w:val="00D848AF"/>
    <w:rsid w:val="00D929FC"/>
    <w:rsid w:val="00D932C6"/>
    <w:rsid w:val="00DB5B01"/>
    <w:rsid w:val="00DB6B60"/>
    <w:rsid w:val="00DC4D6A"/>
    <w:rsid w:val="00DC55A7"/>
    <w:rsid w:val="00DF4561"/>
    <w:rsid w:val="00E00713"/>
    <w:rsid w:val="00E00B8F"/>
    <w:rsid w:val="00E10090"/>
    <w:rsid w:val="00E25860"/>
    <w:rsid w:val="00E3009E"/>
    <w:rsid w:val="00E30F1C"/>
    <w:rsid w:val="00E42E3B"/>
    <w:rsid w:val="00E42EFA"/>
    <w:rsid w:val="00E62C52"/>
    <w:rsid w:val="00E769DD"/>
    <w:rsid w:val="00E772AB"/>
    <w:rsid w:val="00E87192"/>
    <w:rsid w:val="00E87A78"/>
    <w:rsid w:val="00E97860"/>
    <w:rsid w:val="00EA1900"/>
    <w:rsid w:val="00EA78EA"/>
    <w:rsid w:val="00EB6EA6"/>
    <w:rsid w:val="00ED5395"/>
    <w:rsid w:val="00ED6520"/>
    <w:rsid w:val="00F04E6C"/>
    <w:rsid w:val="00F05B57"/>
    <w:rsid w:val="00F1458A"/>
    <w:rsid w:val="00F16A76"/>
    <w:rsid w:val="00F22DEA"/>
    <w:rsid w:val="00F235D7"/>
    <w:rsid w:val="00F240E6"/>
    <w:rsid w:val="00F451CC"/>
    <w:rsid w:val="00F500AD"/>
    <w:rsid w:val="00F53BE4"/>
    <w:rsid w:val="00F53F83"/>
    <w:rsid w:val="00F570B1"/>
    <w:rsid w:val="00F70EBB"/>
    <w:rsid w:val="00F815E0"/>
    <w:rsid w:val="00F9062C"/>
    <w:rsid w:val="00F938CB"/>
    <w:rsid w:val="00FA2838"/>
    <w:rsid w:val="00FB0320"/>
    <w:rsid w:val="00FB4C6A"/>
    <w:rsid w:val="00FC0E63"/>
    <w:rsid w:val="00FC3BE1"/>
    <w:rsid w:val="00FD032E"/>
    <w:rsid w:val="00FD1119"/>
    <w:rsid w:val="00FD23C7"/>
    <w:rsid w:val="00FE24FA"/>
    <w:rsid w:val="00FE3CD9"/>
    <w:rsid w:val="00FE4688"/>
    <w:rsid w:val="00FE5B04"/>
    <w:rsid w:val="00FF52C9"/>
    <w:rsid w:val="020777D2"/>
    <w:rsid w:val="02994ED7"/>
    <w:rsid w:val="03AE3B75"/>
    <w:rsid w:val="03D85DB1"/>
    <w:rsid w:val="03D9250A"/>
    <w:rsid w:val="042E1E3A"/>
    <w:rsid w:val="04AC7DC0"/>
    <w:rsid w:val="0517109F"/>
    <w:rsid w:val="051C7196"/>
    <w:rsid w:val="085D5D58"/>
    <w:rsid w:val="0A1A7B12"/>
    <w:rsid w:val="0A564FE9"/>
    <w:rsid w:val="0B48546A"/>
    <w:rsid w:val="0B752C08"/>
    <w:rsid w:val="0B7F5936"/>
    <w:rsid w:val="0C2D51E3"/>
    <w:rsid w:val="0C8E13BA"/>
    <w:rsid w:val="0D3C4ED1"/>
    <w:rsid w:val="0E5B5C7D"/>
    <w:rsid w:val="0EA7115E"/>
    <w:rsid w:val="0F8D2D61"/>
    <w:rsid w:val="12046B7D"/>
    <w:rsid w:val="12417951"/>
    <w:rsid w:val="12455D2C"/>
    <w:rsid w:val="13084B1D"/>
    <w:rsid w:val="13FA6DD1"/>
    <w:rsid w:val="15296444"/>
    <w:rsid w:val="165D1F26"/>
    <w:rsid w:val="166E4F73"/>
    <w:rsid w:val="167E04C9"/>
    <w:rsid w:val="16970417"/>
    <w:rsid w:val="16B41001"/>
    <w:rsid w:val="174F7052"/>
    <w:rsid w:val="17E5314E"/>
    <w:rsid w:val="17EE3EC4"/>
    <w:rsid w:val="182F4B4D"/>
    <w:rsid w:val="18A118C3"/>
    <w:rsid w:val="19603C97"/>
    <w:rsid w:val="19B3675B"/>
    <w:rsid w:val="1A2A3CFE"/>
    <w:rsid w:val="1A751F4C"/>
    <w:rsid w:val="1B206A7F"/>
    <w:rsid w:val="1B5963A1"/>
    <w:rsid w:val="1B6105C1"/>
    <w:rsid w:val="1C1A1C68"/>
    <w:rsid w:val="1C3D0E46"/>
    <w:rsid w:val="1C9C4C8F"/>
    <w:rsid w:val="1DD41E85"/>
    <w:rsid w:val="1DE77AC8"/>
    <w:rsid w:val="1E8745DB"/>
    <w:rsid w:val="2041702C"/>
    <w:rsid w:val="21426017"/>
    <w:rsid w:val="2194482F"/>
    <w:rsid w:val="223119BE"/>
    <w:rsid w:val="22413E83"/>
    <w:rsid w:val="22B52A68"/>
    <w:rsid w:val="22BE7018"/>
    <w:rsid w:val="23C61D14"/>
    <w:rsid w:val="25766063"/>
    <w:rsid w:val="26481CAA"/>
    <w:rsid w:val="2730772D"/>
    <w:rsid w:val="274E5679"/>
    <w:rsid w:val="279B2502"/>
    <w:rsid w:val="27A833EA"/>
    <w:rsid w:val="285A06AA"/>
    <w:rsid w:val="28623638"/>
    <w:rsid w:val="288058F0"/>
    <w:rsid w:val="2A301909"/>
    <w:rsid w:val="2B1255AD"/>
    <w:rsid w:val="2B66078F"/>
    <w:rsid w:val="2B846E20"/>
    <w:rsid w:val="2BAA0220"/>
    <w:rsid w:val="2C0E408A"/>
    <w:rsid w:val="2C1B32E7"/>
    <w:rsid w:val="2DEF05EC"/>
    <w:rsid w:val="2E890A78"/>
    <w:rsid w:val="30D40584"/>
    <w:rsid w:val="31305FD9"/>
    <w:rsid w:val="31AF3A77"/>
    <w:rsid w:val="31D30E4C"/>
    <w:rsid w:val="32706E51"/>
    <w:rsid w:val="32E44CEB"/>
    <w:rsid w:val="33163C18"/>
    <w:rsid w:val="33637BA3"/>
    <w:rsid w:val="33EA7DC6"/>
    <w:rsid w:val="34517D7E"/>
    <w:rsid w:val="34CB663A"/>
    <w:rsid w:val="359F4835"/>
    <w:rsid w:val="369A12D5"/>
    <w:rsid w:val="3847230B"/>
    <w:rsid w:val="39093A04"/>
    <w:rsid w:val="39A24808"/>
    <w:rsid w:val="3B151DD0"/>
    <w:rsid w:val="3BBB6072"/>
    <w:rsid w:val="3BE3227E"/>
    <w:rsid w:val="3C2F5ABA"/>
    <w:rsid w:val="3C733EB5"/>
    <w:rsid w:val="3D2E2B17"/>
    <w:rsid w:val="3D4A7458"/>
    <w:rsid w:val="3E7524EC"/>
    <w:rsid w:val="3E86538E"/>
    <w:rsid w:val="3F010673"/>
    <w:rsid w:val="3F59242C"/>
    <w:rsid w:val="3F7A3302"/>
    <w:rsid w:val="41001552"/>
    <w:rsid w:val="417D2A82"/>
    <w:rsid w:val="41AB3FC7"/>
    <w:rsid w:val="425C3F3D"/>
    <w:rsid w:val="42921BC7"/>
    <w:rsid w:val="434871E4"/>
    <w:rsid w:val="43F6671C"/>
    <w:rsid w:val="455D3B30"/>
    <w:rsid w:val="45F57A70"/>
    <w:rsid w:val="46436CD8"/>
    <w:rsid w:val="4754713D"/>
    <w:rsid w:val="47AF600A"/>
    <w:rsid w:val="481949F8"/>
    <w:rsid w:val="48605B53"/>
    <w:rsid w:val="493048D0"/>
    <w:rsid w:val="4A1E06E8"/>
    <w:rsid w:val="4A2C0FCE"/>
    <w:rsid w:val="4A463E04"/>
    <w:rsid w:val="4BAE1149"/>
    <w:rsid w:val="4C6C0ECD"/>
    <w:rsid w:val="4C6D54D2"/>
    <w:rsid w:val="4CD10FA4"/>
    <w:rsid w:val="4E55767A"/>
    <w:rsid w:val="4EAD3FEC"/>
    <w:rsid w:val="4FC41FFB"/>
    <w:rsid w:val="50701AAD"/>
    <w:rsid w:val="52102EEE"/>
    <w:rsid w:val="527A2C54"/>
    <w:rsid w:val="52BE01DC"/>
    <w:rsid w:val="52D4136D"/>
    <w:rsid w:val="548F022F"/>
    <w:rsid w:val="54DC48C3"/>
    <w:rsid w:val="55285983"/>
    <w:rsid w:val="557F35FB"/>
    <w:rsid w:val="55ED4523"/>
    <w:rsid w:val="56557F73"/>
    <w:rsid w:val="56F1578E"/>
    <w:rsid w:val="577C7FF4"/>
    <w:rsid w:val="5793528B"/>
    <w:rsid w:val="579F769C"/>
    <w:rsid w:val="57F347A6"/>
    <w:rsid w:val="582236D2"/>
    <w:rsid w:val="583C680D"/>
    <w:rsid w:val="587B1A70"/>
    <w:rsid w:val="58C461F6"/>
    <w:rsid w:val="5A570284"/>
    <w:rsid w:val="5A68171D"/>
    <w:rsid w:val="5A756340"/>
    <w:rsid w:val="5BE80BA6"/>
    <w:rsid w:val="5BFA5947"/>
    <w:rsid w:val="5C143024"/>
    <w:rsid w:val="5C3D1100"/>
    <w:rsid w:val="5D423405"/>
    <w:rsid w:val="5D4A51B7"/>
    <w:rsid w:val="5DDD36CD"/>
    <w:rsid w:val="5EC37E73"/>
    <w:rsid w:val="5F6653AA"/>
    <w:rsid w:val="5F7D0041"/>
    <w:rsid w:val="636A7E5B"/>
    <w:rsid w:val="637021DE"/>
    <w:rsid w:val="63AA4F7B"/>
    <w:rsid w:val="6452565B"/>
    <w:rsid w:val="663F3BFB"/>
    <w:rsid w:val="683D5BAE"/>
    <w:rsid w:val="695056F2"/>
    <w:rsid w:val="69EB2D0B"/>
    <w:rsid w:val="6B254DC0"/>
    <w:rsid w:val="6B4319F5"/>
    <w:rsid w:val="6B646440"/>
    <w:rsid w:val="6BCD598D"/>
    <w:rsid w:val="6C296659"/>
    <w:rsid w:val="6CA160A1"/>
    <w:rsid w:val="6CEA11B7"/>
    <w:rsid w:val="6D436320"/>
    <w:rsid w:val="6D7E4FED"/>
    <w:rsid w:val="6E1C04E1"/>
    <w:rsid w:val="6E6F07D1"/>
    <w:rsid w:val="6EFA122F"/>
    <w:rsid w:val="6FC51AF2"/>
    <w:rsid w:val="72BE5F1D"/>
    <w:rsid w:val="737B1ECE"/>
    <w:rsid w:val="73991CFD"/>
    <w:rsid w:val="7422718A"/>
    <w:rsid w:val="769644B3"/>
    <w:rsid w:val="775C0F71"/>
    <w:rsid w:val="77F00BE5"/>
    <w:rsid w:val="78FD5A6F"/>
    <w:rsid w:val="7953190D"/>
    <w:rsid w:val="79D76CA0"/>
    <w:rsid w:val="7AE67ABF"/>
    <w:rsid w:val="7B4C6D72"/>
    <w:rsid w:val="7C577D24"/>
    <w:rsid w:val="7C5863FF"/>
    <w:rsid w:val="7C983899"/>
    <w:rsid w:val="7CAA113C"/>
    <w:rsid w:val="7D99133D"/>
    <w:rsid w:val="7E093FFC"/>
    <w:rsid w:val="7E226387"/>
    <w:rsid w:val="7E7C593B"/>
    <w:rsid w:val="7EE23862"/>
    <w:rsid w:val="7EEB0636"/>
    <w:rsid w:val="7EF424BD"/>
    <w:rsid w:val="7FA0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qFormat="1" w:uiPriority="39" w:semiHidden="0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200" w:firstLineChars="200"/>
    </w:pPr>
    <w:rPr>
      <w:rFonts w:asciiTheme="minorHAnsi" w:hAnsiTheme="minorHAnsi" w:eastAsiaTheme="minorEastAsia" w:cstheme="minorBidi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numPr>
        <w:ilvl w:val="0"/>
        <w:numId w:val="1"/>
      </w:numPr>
      <w:spacing w:before="100" w:beforeLines="100" w:after="100" w:afterLines="100"/>
      <w:ind w:firstLineChars="0"/>
      <w:contextualSpacing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2"/>
    <w:basedOn w:val="1"/>
    <w:next w:val="1"/>
    <w:link w:val="29"/>
    <w:unhideWhenUsed/>
    <w:qFormat/>
    <w:uiPriority w:val="9"/>
    <w:pPr>
      <w:keepNext/>
      <w:keepLines/>
      <w:numPr>
        <w:ilvl w:val="1"/>
        <w:numId w:val="1"/>
      </w:numPr>
      <w:spacing w:before="100" w:beforeAutospacing="1" w:after="100" w:afterAutospacing="1"/>
      <w:ind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link w:val="30"/>
    <w:unhideWhenUsed/>
    <w:qFormat/>
    <w:uiPriority w:val="9"/>
    <w:pPr>
      <w:keepNext/>
      <w:keepLines/>
      <w:numPr>
        <w:ilvl w:val="2"/>
        <w:numId w:val="1"/>
      </w:numPr>
      <w:spacing w:before="260" w:after="260"/>
      <w:ind w:firstLineChars="0"/>
      <w:outlineLvl w:val="2"/>
    </w:pPr>
    <w:rPr>
      <w:b/>
      <w:bCs/>
      <w:sz w:val="24"/>
      <w:szCs w:val="32"/>
    </w:rPr>
  </w:style>
  <w:style w:type="paragraph" w:styleId="6">
    <w:name w:val="heading 4"/>
    <w:basedOn w:val="1"/>
    <w:next w:val="1"/>
    <w:link w:val="45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ind w:firstLineChars="0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">
    <w:name w:val="Document Map"/>
    <w:basedOn w:val="1"/>
    <w:link w:val="28"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annotation text"/>
    <w:basedOn w:val="9"/>
    <w:qFormat/>
    <w:uiPriority w:val="0"/>
  </w:style>
  <w:style w:type="paragraph" w:customStyle="1" w:styleId="9">
    <w:name w:val="Footnote Base"/>
    <w:basedOn w:val="1"/>
    <w:qFormat/>
    <w:uiPriority w:val="0"/>
    <w:pPr>
      <w:keepLines/>
      <w:spacing w:line="200" w:lineRule="atLeast"/>
      <w:ind w:left="1080"/>
    </w:pPr>
    <w:rPr>
      <w:rFonts w:ascii="Arial" w:hAnsi="Arial" w:cs="Times New Roman"/>
      <w:spacing w:val="-5"/>
      <w:sz w:val="16"/>
      <w:szCs w:val="20"/>
    </w:rPr>
  </w:style>
  <w:style w:type="paragraph" w:styleId="10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1">
    <w:name w:val="Plain Text"/>
    <w:basedOn w:val="1"/>
    <w:qFormat/>
    <w:uiPriority w:val="0"/>
    <w:rPr>
      <w:rFonts w:ascii="宋体" w:hAnsi="Courier New"/>
      <w:szCs w:val="20"/>
    </w:rPr>
  </w:style>
  <w:style w:type="paragraph" w:styleId="12">
    <w:name w:val="toc 8"/>
    <w:basedOn w:val="1"/>
    <w:next w:val="1"/>
    <w:unhideWhenUsed/>
    <w:qFormat/>
    <w:uiPriority w:val="39"/>
    <w:pPr>
      <w:widowControl w:val="0"/>
      <w:ind w:left="2940" w:leftChars="1400"/>
      <w:jc w:val="both"/>
    </w:pPr>
  </w:style>
  <w:style w:type="paragraph" w:styleId="13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4">
    <w:name w:val="footer"/>
    <w:basedOn w:val="1"/>
    <w:next w:val="12"/>
    <w:link w:val="37"/>
    <w:unhideWhenUsed/>
    <w:qFormat/>
    <w:uiPriority w:val="99"/>
    <w:pPr>
      <w:tabs>
        <w:tab w:val="center" w:pos="4320"/>
        <w:tab w:val="right" w:pos="8640"/>
      </w:tabs>
      <w:adjustRightInd/>
      <w:snapToGrid/>
      <w:spacing w:line="276" w:lineRule="auto"/>
      <w:ind w:firstLine="0" w:firstLineChars="0"/>
    </w:pPr>
    <w:rPr>
      <w:sz w:val="22"/>
    </w:rPr>
  </w:style>
  <w:style w:type="paragraph" w:styleId="15">
    <w:name w:val="header"/>
    <w:basedOn w:val="1"/>
    <w:link w:val="47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  <w:ind w:firstLine="0" w:firstLineChars="0"/>
    </w:pPr>
    <w:rPr>
      <w:rFonts w:ascii="宋体" w:hAnsi="宋体" w:eastAsia="宋体" w:cs="宋体"/>
      <w:szCs w:val="24"/>
    </w:rPr>
  </w:style>
  <w:style w:type="table" w:styleId="19">
    <w:name w:val="Table Grid"/>
    <w:basedOn w:val="18"/>
    <w:qFormat/>
    <w:uiPriority w:val="39"/>
    <w:pPr>
      <w:ind w:firstLine="360"/>
    </w:pPr>
    <w:rPr>
      <w:rFonts w:eastAsiaTheme="minorEastAsia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表格文字"/>
    <w:basedOn w:val="11"/>
    <w:next w:val="1"/>
    <w:qFormat/>
    <w:uiPriority w:val="0"/>
    <w:pPr>
      <w:spacing w:line="420" w:lineRule="atLeast"/>
      <w:textAlignment w:val="baseline"/>
    </w:pPr>
  </w:style>
  <w:style w:type="paragraph" w:styleId="24">
    <w:name w:val="No Spacing"/>
    <w:link w:val="2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5">
    <w:name w:val="无间隔 字符"/>
    <w:basedOn w:val="20"/>
    <w:link w:val="24"/>
    <w:qFormat/>
    <w:uiPriority w:val="1"/>
    <w:rPr>
      <w:rFonts w:eastAsiaTheme="minorEastAsia"/>
    </w:rPr>
  </w:style>
  <w:style w:type="character" w:customStyle="1" w:styleId="26">
    <w:name w:val="批注框文本 字符"/>
    <w:basedOn w:val="20"/>
    <w:link w:val="13"/>
    <w:semiHidden/>
    <w:qFormat/>
    <w:uiPriority w:val="99"/>
    <w:rPr>
      <w:rFonts w:ascii="Tahoma" w:hAnsi="Tahoma"/>
      <w:sz w:val="18"/>
      <w:szCs w:val="18"/>
    </w:rPr>
  </w:style>
  <w:style w:type="character" w:customStyle="1" w:styleId="27">
    <w:name w:val="标题 1 字符"/>
    <w:basedOn w:val="20"/>
    <w:link w:val="3"/>
    <w:qFormat/>
    <w:uiPriority w:val="9"/>
    <w:rPr>
      <w:rFonts w:ascii="Tahoma" w:hAnsi="Tahoma" w:eastAsia="黑体" w:cstheme="minorBidi"/>
      <w:bCs/>
      <w:kern w:val="44"/>
      <w:sz w:val="32"/>
      <w:szCs w:val="44"/>
    </w:rPr>
  </w:style>
  <w:style w:type="character" w:customStyle="1" w:styleId="28">
    <w:name w:val="文档结构图 字符"/>
    <w:basedOn w:val="20"/>
    <w:link w:val="7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29">
    <w:name w:val="标题 2 字符"/>
    <w:basedOn w:val="20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30">
    <w:name w:val="标题 3 字符"/>
    <w:basedOn w:val="20"/>
    <w:link w:val="5"/>
    <w:qFormat/>
    <w:uiPriority w:val="9"/>
    <w:rPr>
      <w:rFonts w:asciiTheme="minorHAnsi" w:hAnsiTheme="minorHAnsi" w:eastAsiaTheme="minorEastAsia" w:cstheme="minorBidi"/>
      <w:b/>
      <w:bCs/>
      <w:sz w:val="24"/>
      <w:szCs w:val="32"/>
    </w:rPr>
  </w:style>
  <w:style w:type="paragraph" w:customStyle="1" w:styleId="31">
    <w:name w:val="列出段落1"/>
    <w:basedOn w:val="1"/>
    <w:qFormat/>
    <w:uiPriority w:val="34"/>
    <w:pPr>
      <w:widowControl w:val="0"/>
      <w:adjustRightInd/>
      <w:snapToGrid/>
      <w:ind w:firstLine="420"/>
      <w:jc w:val="both"/>
    </w:pPr>
    <w:rPr>
      <w:kern w:val="2"/>
      <w:sz w:val="21"/>
    </w:rPr>
  </w:style>
  <w:style w:type="paragraph" w:styleId="32">
    <w:name w:val="List Paragraph"/>
    <w:basedOn w:val="1"/>
    <w:qFormat/>
    <w:uiPriority w:val="34"/>
    <w:pPr>
      <w:ind w:firstLine="420"/>
    </w:pPr>
  </w:style>
  <w:style w:type="paragraph" w:customStyle="1" w:styleId="33">
    <w:name w:val="Style4"/>
    <w:basedOn w:val="1"/>
    <w:link w:val="36"/>
    <w:qFormat/>
    <w:uiPriority w:val="0"/>
    <w:pPr>
      <w:numPr>
        <w:ilvl w:val="0"/>
        <w:numId w:val="2"/>
      </w:numPr>
      <w:adjustRightInd/>
      <w:snapToGrid/>
      <w:spacing w:afterLines="50"/>
      <w:ind w:firstLine="0" w:firstLineChars="0"/>
      <w:jc w:val="both"/>
    </w:pPr>
    <w:rPr>
      <w:rFonts w:ascii="宋体" w:hAnsi="宋体" w:eastAsia="宋体"/>
      <w:sz w:val="21"/>
      <w:szCs w:val="21"/>
    </w:rPr>
  </w:style>
  <w:style w:type="paragraph" w:customStyle="1" w:styleId="34">
    <w:name w:val="Style3"/>
    <w:basedOn w:val="1"/>
    <w:link w:val="35"/>
    <w:qFormat/>
    <w:uiPriority w:val="0"/>
    <w:pPr>
      <w:adjustRightInd/>
      <w:snapToGrid/>
      <w:spacing w:after="100" w:afterAutospacing="1"/>
      <w:ind w:firstLine="420"/>
      <w:jc w:val="both"/>
    </w:pPr>
    <w:rPr>
      <w:rFonts w:asciiTheme="majorEastAsia" w:hAnsiTheme="majorEastAsia" w:eastAsiaTheme="majorEastAsia"/>
      <w:sz w:val="21"/>
      <w:szCs w:val="21"/>
    </w:rPr>
  </w:style>
  <w:style w:type="character" w:customStyle="1" w:styleId="35">
    <w:name w:val="Style3 Char"/>
    <w:basedOn w:val="20"/>
    <w:link w:val="34"/>
    <w:qFormat/>
    <w:uiPriority w:val="0"/>
    <w:rPr>
      <w:rFonts w:asciiTheme="majorEastAsia" w:hAnsiTheme="majorEastAsia" w:eastAsiaTheme="majorEastAsia"/>
      <w:sz w:val="21"/>
      <w:szCs w:val="21"/>
    </w:rPr>
  </w:style>
  <w:style w:type="character" w:customStyle="1" w:styleId="36">
    <w:name w:val="Style4 Char"/>
    <w:basedOn w:val="35"/>
    <w:link w:val="33"/>
    <w:qFormat/>
    <w:uiPriority w:val="0"/>
    <w:rPr>
      <w:rFonts w:ascii="宋体" w:hAnsi="宋体" w:eastAsia="宋体"/>
      <w:sz w:val="21"/>
      <w:szCs w:val="21"/>
    </w:rPr>
  </w:style>
  <w:style w:type="character" w:customStyle="1" w:styleId="37">
    <w:name w:val="页脚 字符"/>
    <w:basedOn w:val="20"/>
    <w:link w:val="14"/>
    <w:qFormat/>
    <w:uiPriority w:val="99"/>
    <w:rPr>
      <w:rFonts w:eastAsiaTheme="minorEastAsia"/>
    </w:rPr>
  </w:style>
  <w:style w:type="paragraph" w:customStyle="1" w:styleId="38">
    <w:name w:val="TOC 标题1"/>
    <w:basedOn w:val="3"/>
    <w:next w:val="1"/>
    <w:unhideWhenUsed/>
    <w:qFormat/>
    <w:uiPriority w:val="39"/>
    <w:pPr>
      <w:adjustRightInd/>
      <w:snapToGrid/>
      <w:spacing w:before="480" w:after="0" w:line="276" w:lineRule="auto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table" w:customStyle="1" w:styleId="39">
    <w:name w:val="网格型1"/>
    <w:basedOn w:val="1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0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31"/>
    <w:basedOn w:val="20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42">
    <w:name w:val="font21"/>
    <w:basedOn w:val="20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  <w:vertAlign w:val="superscript"/>
    </w:rPr>
  </w:style>
  <w:style w:type="paragraph" w:customStyle="1" w:styleId="43">
    <w:name w:val="Default"/>
    <w:qFormat/>
    <w:uiPriority w:val="99"/>
    <w:pPr>
      <w:widowControl w:val="0"/>
      <w:autoSpaceDE w:val="0"/>
      <w:autoSpaceDN w:val="0"/>
      <w:adjustRightInd w:val="0"/>
      <w:spacing w:line="500" w:lineRule="exact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45">
    <w:name w:val="标题 4 字符"/>
    <w:basedOn w:val="20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6">
    <w:name w:val="正文 A A"/>
    <w:qFormat/>
    <w:uiPriority w:val="0"/>
    <w:pPr>
      <w:spacing w:line="360" w:lineRule="auto"/>
    </w:pPr>
    <w:rPr>
      <w:rFonts w:ascii="Lucida Grande" w:hAnsi="Lucida Grande" w:eastAsia="ヒラギノ角ゴ Pro W3" w:cs="Times New Roman"/>
      <w:color w:val="000000"/>
      <w:kern w:val="2"/>
      <w:sz w:val="24"/>
      <w:lang w:val="en-US" w:eastAsia="zh-CN" w:bidi="ar-SA"/>
    </w:rPr>
  </w:style>
  <w:style w:type="character" w:customStyle="1" w:styleId="47">
    <w:name w:val="页眉 字符"/>
    <w:basedOn w:val="20"/>
    <w:link w:val="15"/>
    <w:qFormat/>
    <w:uiPriority w:val="99"/>
    <w:rPr>
      <w:rFonts w:ascii="Tahoma" w:hAnsi="Tahoma" w:eastAsiaTheme="minorEastAsia" w:cstheme="minorBidi"/>
      <w:sz w:val="18"/>
      <w:szCs w:val="22"/>
    </w:rPr>
  </w:style>
  <w:style w:type="paragraph" w:customStyle="1" w:styleId="48">
    <w:name w:val="ql-align-center"/>
    <w:basedOn w:val="1"/>
    <w:qFormat/>
    <w:uiPriority w:val="0"/>
    <w:pPr>
      <w:adjustRightInd/>
      <w:snapToGrid/>
      <w:spacing w:before="100" w:beforeAutospacing="1" w:after="100" w:afterAutospacing="1"/>
      <w:ind w:firstLine="0" w:firstLineChars="0"/>
    </w:pPr>
    <w:rPr>
      <w:rFonts w:ascii="宋体" w:hAnsi="宋体" w:eastAsia="宋体" w:cs="宋体"/>
      <w:szCs w:val="24"/>
    </w:rPr>
  </w:style>
  <w:style w:type="paragraph" w:customStyle="1" w:styleId="49">
    <w:name w:val="TOC 标题2"/>
    <w:basedOn w:val="3"/>
    <w:next w:val="1"/>
    <w:unhideWhenUsed/>
    <w:qFormat/>
    <w:uiPriority w:val="39"/>
    <w:pPr>
      <w:numPr>
        <w:numId w:val="0"/>
      </w:numPr>
      <w:adjustRightInd/>
      <w:snapToGrid/>
      <w:spacing w:before="240" w:after="0" w:line="259" w:lineRule="auto"/>
      <w:outlineLvl w:val="9"/>
    </w:pPr>
    <w:rPr>
      <w:rFonts w:asciiTheme="majorHAnsi" w:hAnsiTheme="majorHAnsi" w:eastAsiaTheme="majorEastAsia" w:cstheme="majorBidi"/>
      <w:bCs w:val="0"/>
      <w:color w:val="376092" w:themeColor="accent1" w:themeShade="BF"/>
      <w:kern w:val="0"/>
      <w:szCs w:val="32"/>
    </w:rPr>
  </w:style>
  <w:style w:type="paragraph" w:customStyle="1" w:styleId="50">
    <w:name w:val="．正文"/>
    <w:basedOn w:val="1"/>
    <w:link w:val="51"/>
    <w:qFormat/>
    <w:uiPriority w:val="0"/>
    <w:pPr>
      <w:adjustRightInd/>
      <w:spacing w:line="360" w:lineRule="auto"/>
      <w:ind w:firstLine="480"/>
    </w:pPr>
    <w:rPr>
      <w:rFonts w:ascii="宋体" w:hAnsi="宋体" w:eastAsia="宋体" w:cs="Times New Roman"/>
      <w:color w:val="000000"/>
      <w:szCs w:val="24"/>
    </w:rPr>
  </w:style>
  <w:style w:type="character" w:customStyle="1" w:styleId="51">
    <w:name w:val="．正文 Char"/>
    <w:link w:val="50"/>
    <w:qFormat/>
    <w:uiPriority w:val="0"/>
    <w:rPr>
      <w:rFonts w:ascii="宋体" w:hAnsi="宋体"/>
      <w:color w:val="000000"/>
      <w:sz w:val="24"/>
      <w:szCs w:val="24"/>
    </w:rPr>
  </w:style>
  <w:style w:type="paragraph" w:customStyle="1" w:styleId="52">
    <w:name w:val="*正文"/>
    <w:basedOn w:val="1"/>
    <w:link w:val="53"/>
    <w:qFormat/>
    <w:uiPriority w:val="0"/>
    <w:pPr>
      <w:widowControl w:val="0"/>
      <w:adjustRightInd/>
      <w:snapToGrid/>
      <w:spacing w:line="360" w:lineRule="auto"/>
      <w:ind w:firstLine="480"/>
      <w:jc w:val="both"/>
    </w:pPr>
    <w:rPr>
      <w:rFonts w:ascii="宋体" w:hAnsi="宋体" w:eastAsia="宋体" w:cs="黑体"/>
      <w:kern w:val="2"/>
      <w:szCs w:val="21"/>
    </w:rPr>
  </w:style>
  <w:style w:type="character" w:customStyle="1" w:styleId="53">
    <w:name w:val="*正文 Char"/>
    <w:link w:val="52"/>
    <w:qFormat/>
    <w:uiPriority w:val="0"/>
    <w:rPr>
      <w:rFonts w:ascii="宋体" w:hAnsi="宋体" w:cs="黑体"/>
      <w:kern w:val="2"/>
      <w:sz w:val="24"/>
      <w:szCs w:val="21"/>
    </w:rPr>
  </w:style>
  <w:style w:type="character" w:customStyle="1" w:styleId="54">
    <w:name w:val="font0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55">
    <w:name w:val="样式2"/>
    <w:basedOn w:val="31"/>
    <w:qFormat/>
    <w:uiPriority w:val="0"/>
    <w:pPr>
      <w:numPr>
        <w:ilvl w:val="0"/>
        <w:numId w:val="3"/>
      </w:numPr>
      <w:snapToGrid w:val="0"/>
      <w:spacing w:line="360" w:lineRule="auto"/>
      <w:ind w:firstLine="0" w:firstLineChars="0"/>
      <w:contextualSpacing/>
      <w:jc w:val="left"/>
    </w:pPr>
    <w:rPr>
      <w:rFonts w:ascii="宋体" w:hAnsi="宋体" w:eastAsia="宋体" w:cs="Times New Roman"/>
      <w:b/>
      <w:spacing w:val="20"/>
      <w:sz w:val="24"/>
      <w:szCs w:val="21"/>
    </w:rPr>
  </w:style>
  <w:style w:type="paragraph" w:customStyle="1" w:styleId="56">
    <w:name w:val=".正文"/>
    <w:basedOn w:val="1"/>
    <w:link w:val="57"/>
    <w:qFormat/>
    <w:uiPriority w:val="0"/>
    <w:pPr>
      <w:widowControl w:val="0"/>
      <w:adjustRightInd/>
      <w:snapToGrid/>
      <w:spacing w:line="360" w:lineRule="auto"/>
      <w:ind w:firstLine="480"/>
      <w:jc w:val="both"/>
    </w:pPr>
    <w:rPr>
      <w:rFonts w:ascii="宋体" w:hAnsi="宋体" w:eastAsia="宋体" w:cs="Times New Roman"/>
      <w:kern w:val="2"/>
      <w:szCs w:val="21"/>
    </w:rPr>
  </w:style>
  <w:style w:type="character" w:customStyle="1" w:styleId="57">
    <w:name w:val=".正文 Char"/>
    <w:link w:val="56"/>
    <w:qFormat/>
    <w:uiPriority w:val="0"/>
    <w:rPr>
      <w:rFonts w:ascii="宋体" w:hAnsi="宋体"/>
      <w:kern w:val="2"/>
      <w:sz w:val="24"/>
      <w:szCs w:val="21"/>
    </w:rPr>
  </w:style>
  <w:style w:type="table" w:customStyle="1" w:styleId="58">
    <w:name w:val="清单表 4 - 着色 11"/>
    <w:basedOn w:val="1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59">
    <w:name w:val="清单表 4 - 着色 51"/>
    <w:basedOn w:val="18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60">
    <w:name w:val="网格表 4 - 着色 11"/>
    <w:basedOn w:val="1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1772B1-CBA1-47BE-A4F9-788436C65C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淄博祥龙测控技术有限公司</Company>
  <Pages>5</Pages>
  <Words>2755</Words>
  <Characters>3315</Characters>
  <Lines>27</Lines>
  <Paragraphs>7</Paragraphs>
  <TotalTime>1</TotalTime>
  <ScaleCrop>false</ScaleCrop>
  <LinksUpToDate>false</LinksUpToDate>
  <CharactersWithSpaces>3343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2018-10-25T08:14:00Z</dcterms:created>
  <dc:creator>Administrato</dc:creator>
  <cp:lastModifiedBy>jdbwb</cp:lastModifiedBy>
  <dcterms:modified xsi:type="dcterms:W3CDTF">2023-10-25T02:54:58Z</dcterms:modified>
  <dc:subject>设计方案</dc:subject>
  <dc:title>KJ1121煤矿采空区火灾多参数监测定系统技术方案</dc:title>
  <cp:revision>374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607E5F0CC16E4DAB9E6701AF353F39EB_13</vt:lpwstr>
  </property>
</Properties>
</file>