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煤矿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密闭空间无线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监测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系统</w:t>
      </w:r>
    </w:p>
    <w:p>
      <w:pPr>
        <w:ind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7" w:name="_GoBack"/>
      <w:bookmarkEnd w:id="7"/>
      <w:r>
        <w:rPr>
          <w:rFonts w:hint="eastAsia" w:asciiTheme="majorEastAsia" w:hAnsiTheme="majorEastAsia" w:eastAsiaTheme="majorEastAsia" w:cstheme="majorEastAsia"/>
          <w:sz w:val="32"/>
          <w:szCs w:val="32"/>
        </w:rPr>
        <w:t>技术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规格书</w:t>
      </w:r>
    </w:p>
    <w:p>
      <w:pPr>
        <w:pStyle w:val="3"/>
        <w:spacing w:before="240" w:after="240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Toc114477733"/>
      <w:bookmarkStart w:id="1" w:name="_Toc59106925"/>
      <w:bookmarkStart w:id="2" w:name="_Toc32011"/>
      <w:r>
        <w:rPr>
          <w:rFonts w:hint="eastAsia" w:asciiTheme="majorEastAsia" w:hAnsiTheme="majorEastAsia" w:eastAsiaTheme="majorEastAsia" w:cstheme="majorEastAsia"/>
          <w:sz w:val="28"/>
          <w:szCs w:val="28"/>
        </w:rPr>
        <w:t>技术</w:t>
      </w:r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要求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为保证系统监测准确性，切实满足矿方需求，技术要求中标记*条款必须实质性响应，不允许负偏离。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*无线监测：系统须支持无线/有线等多种数据传输方式，确保井下复杂环境中的数据传输稳定性；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*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监测种类：系统须支持CO、O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、CH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、CO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、C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H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vertAlign w:val="subscript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H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、温度、压差等多种监测数据，综合监测多项指标进行横向分析；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*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集成设计：传感器须集成本安型抽气泵，可将密闭区域气体抽取至传感器进行分析；须内置流量计、自动滤水器，确保监测准确性；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电子排版：井下设备须内置显示屏，实时显示监测数据，免去人工抄写的繁重工作量；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灵活部署：井下设备须支持电源供电/电池供电等多种供电方式，满足井下复杂环境的设备安装需求；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低功耗设计：设备须具有休眠和工作两种状态，确保长时间稳定运行；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无人值守设计：支持24小时在线监测，实现无人值守；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数据分析：系统可自动将分析数据存入数据库，并可用数据库分析某一采样点的气体含量在一段时间内的变化趋势，支持图表化显示；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自动报警：井上、井下应均具有气体含量、温度超限自动报警功能；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数据共享：系统须具有联网功能，实现分析数据的共享，便于领导和调度人员对井下气体、温度的变化情况及时了解；</w:t>
      </w:r>
    </w:p>
    <w:bookmarkEnd w:id="1"/>
    <w:bookmarkEnd w:id="2"/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11.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大数据融合：系统应内置数据融合模块，支持多种异构数据源接入，可对多种火灾预警数据进行实时接入、智能分析；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12.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智能预警：系统应支持监测数据阈值设置，超限数据自动报警；系统支持监测数据智能趋势分析，对于异常波动数据进行智能预警；</w:t>
      </w:r>
    </w:p>
    <w:p>
      <w:pPr>
        <w:pStyle w:val="56"/>
        <w:numPr>
          <w:ilvl w:val="0"/>
          <w:numId w:val="0"/>
        </w:numPr>
        <w:spacing w:line="240" w:lineRule="auto"/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13.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数据接口：系统应支持开放数据接口，系统数据可与其他管理平台进行对接；</w:t>
      </w:r>
    </w:p>
    <w:p>
      <w:pPr>
        <w:pStyle w:val="32"/>
        <w:numPr>
          <w:ilvl w:val="0"/>
          <w:numId w:val="0"/>
        </w:numPr>
        <w:ind w:left="420" w:leftChars="0" w:hanging="42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 w:bidi="ar-SA"/>
        </w:rPr>
        <w:t>14.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系统软件采用B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/S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架构，须具备G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IS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监控、数据查询、用户管理、设备管理、趋势图、外接显示屏等功能模块。</w:t>
      </w:r>
    </w:p>
    <w:p>
      <w:pPr>
        <w:pStyle w:val="3"/>
        <w:spacing w:before="240" w:after="24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设计依据</w:t>
      </w:r>
    </w:p>
    <w:p>
      <w:pPr>
        <w:pStyle w:val="56"/>
        <w:numPr>
          <w:ilvl w:val="0"/>
          <w:numId w:val="0"/>
        </w:numPr>
        <w:spacing w:line="240" w:lineRule="auto"/>
        <w:ind w:left="420" w:leftChars="100" w:hanging="140" w:hangingChars="5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本方案的设计依据、遵照的技术规范和标准，主要包括：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《煤矿安全规程》（2016版）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《煤矿安全监控系统通用技术要求》（AQ6201-2019）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《煤矿安全监控系统及监测仪器使用管理规范》（AQ1029-2019）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《煤矿安全生产监控系统通用技术条件》（MT/T 1004-2006）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《煤矿自然发火束管监测系统通用技术条件》（MT/T 757）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《电子计算机机房设计规范》（GB50174-2008）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《电子计算机场地通用规范》（GB/T2887-2000）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《计算机软件开发规范》（GB8566-2007）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《爆炸性环境第1部分：设备通用要求》（GB 3836.1-2010）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《爆炸性环境 第2部分：由隔爆外壳“d”保护的设备》（GB 3836.2-2010）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《爆炸性环境第4部分：由本质安全型“i”保护的设备》（GB 3836.4-2010）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《矿用产品安全标志标识》（AQ 1043-2007）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《煤矿电气设备产品型号编制方法和管理方法》（MT/T 154.2-1996）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《煤矿通信、检测、控制用电工电子产品基本试验方法》（MT 210-1990）  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《煤矿用直流稳压电源》（MT/T 408-1995）   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《矿用以太网》（MT/T 1131-2011）  </w:t>
      </w:r>
    </w:p>
    <w:p>
      <w:pPr>
        <w:pStyle w:val="56"/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其它按国家、省、集团公司及煤矿企业有关规范标准执行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\</w:t>
      </w:r>
    </w:p>
    <w:p>
      <w:pPr>
        <w:pStyle w:val="3"/>
        <w:spacing w:before="240" w:after="240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3" w:name="_Toc122440083"/>
      <w:r>
        <w:rPr>
          <w:rFonts w:hint="eastAsia" w:asciiTheme="majorEastAsia" w:hAnsiTheme="majorEastAsia" w:eastAsiaTheme="majorEastAsia" w:cstheme="majorEastAsia"/>
          <w:sz w:val="28"/>
          <w:szCs w:val="28"/>
        </w:rPr>
        <w:t>技术特点</w:t>
      </w:r>
      <w:bookmarkEnd w:id="3"/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大数据融合：系统内置数据融合模块，支持多种异构数据源接入，可对多种火灾预警数据进行实时接入、智能分析；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智能预警：系统支持监测数据阈值设置，超限数据自动报警；系统支持监测数据智能趋势分析，对于异常波动数据进行智能预警；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数据接口：系统支持开放数据接口，系统数据可与矿井综合安全生产平台进行对接；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无线监测：采用无线传输技术；传感器、中继、基站采用无线通信；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多参数监测：内置温度、压差、CO、O2、CH4、CO2、C2H2、C2H4传感器等多种传感器，综合监测工作面多项指标；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集成化设计：传感器集成抽气泵功能，可将密闭区域气体抽取至传感器进行分析；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内置显示屏：传感器内置显示屏，实时显示各项监测数值，方便井下人员实时核查；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内置电池供电：更加适应井下环境，方便安装部署；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低功耗设计：节点具有休眠和工作两种状态，确保长时间稳定运行；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微机自动控制，24小时在线监测，实现无人值守；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自动设置参数，每次进入系统均按上一次修改的最新参数设置；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可建立气样、温度数据库；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采用GIS技术，可直观查看传感器位置及相关数值；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独特的数据库分析功能：系统自动将分析数据存入数据库，并可用数据库分析某一采样点的气体含量在一段时间内的变化趋势，支持图表化显示；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井上、井下均具有气体含量、温度超限自动报警功能；</w:t>
      </w:r>
    </w:p>
    <w:p>
      <w:pPr>
        <w:pStyle w:val="56"/>
        <w:numPr>
          <w:ilvl w:val="0"/>
          <w:numId w:val="5"/>
        </w:numPr>
        <w:spacing w:line="240" w:lineRule="auto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系统具有联网功能，实现分析数据的共享，便于领导和调度人员对井下气体、温度的变化情况及时了解。</w:t>
      </w:r>
    </w:p>
    <w:p>
      <w:pPr>
        <w:pStyle w:val="56"/>
        <w:numPr>
          <w:ilvl w:val="0"/>
          <w:numId w:val="0"/>
        </w:numPr>
        <w:spacing w:line="240" w:lineRule="auto"/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240" w:after="240"/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4" w:name="_Toc114477734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五、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技术参数</w:t>
      </w:r>
      <w:bookmarkEnd w:id="4"/>
    </w:p>
    <w:p>
      <w:pPr>
        <w:pStyle w:val="4"/>
        <w:numPr>
          <w:ilvl w:val="1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5.1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技术指标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tbl>
      <w:tblPr>
        <w:tblStyle w:val="60"/>
        <w:tblW w:w="8743" w:type="dxa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09"/>
        <w:gridCol w:w="1755"/>
        <w:gridCol w:w="1271"/>
        <w:gridCol w:w="1704"/>
        <w:gridCol w:w="2406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8" w:type="dxa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  <w:noWrap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1112" w:type="dxa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测量种类</w:t>
            </w:r>
          </w:p>
        </w:tc>
        <w:tc>
          <w:tcPr>
            <w:tcW w:w="1759" w:type="dxa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测量范围</w:t>
            </w:r>
          </w:p>
        </w:tc>
        <w:tc>
          <w:tcPr>
            <w:tcW w:w="1273" w:type="dxa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分辨率</w:t>
            </w:r>
          </w:p>
        </w:tc>
        <w:tc>
          <w:tcPr>
            <w:tcW w:w="4121" w:type="dxa"/>
            <w:gridSpan w:val="2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基本误差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78" w:type="dxa"/>
            <w:vMerge w:val="restart"/>
            <w:shd w:val="clear" w:color="auto" w:fill="DBE5F1" w:themeFill="accent1" w:themeFillTint="33"/>
            <w:noWrap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112" w:type="dxa"/>
            <w:vMerge w:val="restart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CO</w:t>
            </w:r>
          </w:p>
        </w:tc>
        <w:tc>
          <w:tcPr>
            <w:tcW w:w="1759" w:type="dxa"/>
            <w:vMerge w:val="restart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～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1000ppm</w:t>
            </w:r>
          </w:p>
        </w:tc>
        <w:tc>
          <w:tcPr>
            <w:tcW w:w="1273" w:type="dxa"/>
            <w:vMerge w:val="restart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1ppm</w:t>
            </w:r>
          </w:p>
        </w:tc>
        <w:tc>
          <w:tcPr>
            <w:tcW w:w="1707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0-100ppm</w:t>
            </w:r>
          </w:p>
        </w:tc>
        <w:tc>
          <w:tcPr>
            <w:tcW w:w="2414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4ppm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" w:type="dxa"/>
            <w:vMerge w:val="continue"/>
            <w:shd w:val="clear" w:color="auto" w:fill="DBE5F1" w:themeFill="accent1" w:themeFillTint="33"/>
            <w:noWrap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100-500ppm</w:t>
            </w:r>
          </w:p>
        </w:tc>
        <w:tc>
          <w:tcPr>
            <w:tcW w:w="2414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真值的±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5%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" w:type="dxa"/>
            <w:vMerge w:val="continue"/>
            <w:noWrap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07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500-1000ppm</w:t>
            </w:r>
          </w:p>
        </w:tc>
        <w:tc>
          <w:tcPr>
            <w:tcW w:w="2414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真值的±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6%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78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112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O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subscript"/>
                <w:lang w:bidi="ar"/>
              </w:rPr>
              <w:t>2</w:t>
            </w:r>
          </w:p>
        </w:tc>
        <w:tc>
          <w:tcPr>
            <w:tcW w:w="1759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～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25%</w:t>
            </w:r>
          </w:p>
        </w:tc>
        <w:tc>
          <w:tcPr>
            <w:tcW w:w="1273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0.10%</w:t>
            </w:r>
          </w:p>
        </w:tc>
        <w:tc>
          <w:tcPr>
            <w:tcW w:w="4121" w:type="dxa"/>
            <w:gridSpan w:val="2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量程的±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3%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8" w:type="dxa"/>
            <w:vMerge w:val="restart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112" w:type="dxa"/>
            <w:vMerge w:val="restart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CH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subscript"/>
                <w:lang w:bidi="ar"/>
              </w:rPr>
              <w:t>4</w:t>
            </w:r>
          </w:p>
        </w:tc>
        <w:tc>
          <w:tcPr>
            <w:tcW w:w="1759" w:type="dxa"/>
            <w:vMerge w:val="restart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～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100%</w:t>
            </w:r>
          </w:p>
        </w:tc>
        <w:tc>
          <w:tcPr>
            <w:tcW w:w="1273" w:type="dxa"/>
            <w:vMerge w:val="restart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0.01%</w:t>
            </w:r>
          </w:p>
        </w:tc>
        <w:tc>
          <w:tcPr>
            <w:tcW w:w="1707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0.00%-1.00%</w:t>
            </w:r>
          </w:p>
        </w:tc>
        <w:tc>
          <w:tcPr>
            <w:tcW w:w="2414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0.06%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8" w:type="dxa"/>
            <w:vMerge w:val="continue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1.00%-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.00%</w:t>
            </w:r>
          </w:p>
        </w:tc>
        <w:tc>
          <w:tcPr>
            <w:tcW w:w="2414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真值的±0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6%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8" w:type="dxa"/>
            <w:vMerge w:val="restart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112" w:type="dxa"/>
            <w:vMerge w:val="restart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CO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subscript"/>
                <w:lang w:bidi="ar"/>
              </w:rPr>
              <w:t>2</w:t>
            </w:r>
          </w:p>
        </w:tc>
        <w:tc>
          <w:tcPr>
            <w:tcW w:w="1759" w:type="dxa"/>
            <w:vMerge w:val="restart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0-5%</w:t>
            </w:r>
          </w:p>
        </w:tc>
        <w:tc>
          <w:tcPr>
            <w:tcW w:w="1273" w:type="dxa"/>
            <w:vMerge w:val="restart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0.01%</w:t>
            </w:r>
          </w:p>
        </w:tc>
        <w:tc>
          <w:tcPr>
            <w:tcW w:w="1707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0.00%-0.50%</w:t>
            </w:r>
          </w:p>
        </w:tc>
        <w:tc>
          <w:tcPr>
            <w:tcW w:w="2414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0.10%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8" w:type="dxa"/>
            <w:vMerge w:val="continue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2" w:type="dxa"/>
            <w:vMerge w:val="continue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0.51%-5.00%</w:t>
            </w:r>
          </w:p>
        </w:tc>
        <w:tc>
          <w:tcPr>
            <w:tcW w:w="2414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±（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0.05+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真值的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5%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）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8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C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H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59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～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200</w:t>
            </w:r>
          </w:p>
        </w:tc>
        <w:tc>
          <w:tcPr>
            <w:tcW w:w="1273" w:type="dxa"/>
          </w:tcPr>
          <w:p>
            <w:pPr>
              <w:ind w:firstLine="0" w:firstLineChars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1ppm</w:t>
            </w:r>
          </w:p>
        </w:tc>
        <w:tc>
          <w:tcPr>
            <w:tcW w:w="4121" w:type="dxa"/>
            <w:gridSpan w:val="2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真值的±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5%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8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2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C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H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759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～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200</w:t>
            </w:r>
          </w:p>
        </w:tc>
        <w:tc>
          <w:tcPr>
            <w:tcW w:w="1273" w:type="dxa"/>
            <w:shd w:val="clear" w:color="auto" w:fill="DBE5F1" w:themeFill="accent1" w:themeFillTint="33"/>
          </w:tcPr>
          <w:p>
            <w:pPr>
              <w:ind w:firstLine="0" w:firstLineChars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1ppm</w:t>
            </w:r>
          </w:p>
        </w:tc>
        <w:tc>
          <w:tcPr>
            <w:tcW w:w="4121" w:type="dxa"/>
            <w:gridSpan w:val="2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真值的±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5%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8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112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温度</w:t>
            </w:r>
          </w:p>
        </w:tc>
        <w:tc>
          <w:tcPr>
            <w:tcW w:w="1759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～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superscript"/>
                <w:lang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C</w:t>
            </w:r>
          </w:p>
        </w:tc>
        <w:tc>
          <w:tcPr>
            <w:tcW w:w="1273" w:type="dxa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0.1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superscript"/>
                <w:lang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C</w:t>
            </w:r>
          </w:p>
        </w:tc>
        <w:tc>
          <w:tcPr>
            <w:tcW w:w="4121" w:type="dxa"/>
            <w:gridSpan w:val="2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superscript"/>
                <w:lang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C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8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112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压差</w:t>
            </w:r>
          </w:p>
        </w:tc>
        <w:tc>
          <w:tcPr>
            <w:tcW w:w="1759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7K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pa</w:t>
            </w:r>
          </w:p>
        </w:tc>
        <w:tc>
          <w:tcPr>
            <w:tcW w:w="1273" w:type="dxa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.01</w:t>
            </w:r>
          </w:p>
        </w:tc>
        <w:tc>
          <w:tcPr>
            <w:tcW w:w="4121" w:type="dxa"/>
            <w:gridSpan w:val="2"/>
            <w:shd w:val="clear" w:color="auto" w:fill="DBE5F1" w:themeFill="accent1" w:themeFillTint="33"/>
          </w:tcPr>
          <w:p>
            <w:pPr>
              <w:pStyle w:val="24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%</w:t>
            </w:r>
          </w:p>
        </w:tc>
      </w:tr>
    </w:tbl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pStyle w:val="4"/>
        <w:numPr>
          <w:ilvl w:val="1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5.2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无线通讯参数</w:t>
      </w:r>
    </w:p>
    <w:p>
      <w:pPr>
        <w:pStyle w:val="52"/>
        <w:snapToGrid w:val="0"/>
        <w:spacing w:line="240" w:lineRule="auto"/>
        <w:ind w:firstLine="56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通讯协议：LORA无线通讯协议或基站支持有线传输；</w:t>
      </w:r>
    </w:p>
    <w:p>
      <w:pPr>
        <w:pStyle w:val="52"/>
        <w:snapToGrid w:val="0"/>
        <w:spacing w:line="240" w:lineRule="auto"/>
        <w:ind w:firstLine="56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工作信道：1～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信道（可设置）；</w:t>
      </w:r>
    </w:p>
    <w:p>
      <w:pPr>
        <w:pStyle w:val="52"/>
        <w:snapToGrid w:val="0"/>
        <w:spacing w:line="240" w:lineRule="auto"/>
        <w:ind w:firstLine="56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发射功率：0dBm～20d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m(天线前测试)；</w:t>
      </w:r>
    </w:p>
    <w:p>
      <w:pPr>
        <w:pStyle w:val="52"/>
        <w:snapToGrid w:val="0"/>
        <w:spacing w:line="240" w:lineRule="auto"/>
        <w:ind w:firstLine="56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接收灵敏度：-146d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m；</w:t>
      </w:r>
    </w:p>
    <w:p>
      <w:pPr>
        <w:pStyle w:val="52"/>
        <w:snapToGrid w:val="0"/>
        <w:spacing w:line="240" w:lineRule="auto"/>
        <w:ind w:firstLine="56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工作频率范围：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0MHz ～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5MGHz；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天线：全向天线</w:t>
      </w:r>
    </w:p>
    <w:p>
      <w:pPr>
        <w:pStyle w:val="3"/>
        <w:numPr>
          <w:ilvl w:val="0"/>
          <w:numId w:val="0"/>
        </w:numPr>
        <w:spacing w:before="240" w:after="240"/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5" w:name="_Toc59106929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六、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设备清单</w:t>
      </w:r>
    </w:p>
    <w:tbl>
      <w:tblPr>
        <w:tblStyle w:val="18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420"/>
        <w:gridCol w:w="1853"/>
        <w:gridCol w:w="615"/>
        <w:gridCol w:w="840"/>
        <w:gridCol w:w="1222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分项名称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规格型号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数量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单价（元）</w:t>
            </w:r>
          </w:p>
        </w:tc>
        <w:tc>
          <w:tcPr>
            <w:tcW w:w="698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煤矿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密闭区火灾监测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系统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软件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KJ1698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套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工控机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研华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打印机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A4 幅面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台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矿用多参数无线传感器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(光纤)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GD8W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台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矿用隔爆兼本安型直流电源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KD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Y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660/1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B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交换机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KJJ24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矿用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光缆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MGTSV-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B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米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restart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按实际情况计算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煤矿用移动轻型橡套软电缆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MYQ-0.3/0.5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（4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*1.5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）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米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矿用通信电缆（RS485）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MHYV4*1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矿用通信线缆（网线）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MHYV4*2*0.5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真空过滤器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ZFC200-08B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个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滤水器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KSS-200-22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个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红外遥控器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F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YF3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个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PU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管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φ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米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多参电源线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2米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防爆尾纤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3米 FC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尾纤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3米 SC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本安接线盒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JHH4A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光纤接线盒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FHG4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直接接头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φ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生料带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盘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单管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φ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束管接头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φ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42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安装工具</w:t>
            </w:r>
          </w:p>
        </w:tc>
        <w:tc>
          <w:tcPr>
            <w:tcW w:w="1853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840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240" w:after="240"/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6" w:name="_Toc114477739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七、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售后服务</w:t>
      </w:r>
      <w:bookmarkEnd w:id="5"/>
      <w:bookmarkEnd w:id="6"/>
    </w:p>
    <w:p>
      <w:pPr>
        <w:ind w:firstLine="562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．质量保证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须保证所供货物均按有关国家标准生产和检验，获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ISO9001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际质量体系认证，完全符合国家相关法律法规及合同条款规定的质量、规格和性能要求，出厂之前经严格检验，包装良好，可以避免一般装卸引起的零部件不良。设备在正确安装、正常运转和保养条件下，在使用期内具有满意的性能。</w:t>
      </w:r>
    </w:p>
    <w:p>
      <w:pPr>
        <w:ind w:firstLine="562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2．质保期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自工程竣工验收之日起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个月。</w:t>
      </w:r>
    </w:p>
    <w:p>
      <w:pPr>
        <w:ind w:firstLine="562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3．质保期内服务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质保期内执行国家工业产品售后服务的有关规定，在此期间若接到用户报修的函电时，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小时内做出响应，一般性故障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72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小时内到达现场，紧急事件2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小时内到达现场，保证故障在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48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小时内排除，质保期内非买方原因造成的设备损坏的经济损失由卖方承担。</w:t>
      </w:r>
    </w:p>
    <w:p>
      <w:pPr>
        <w:ind w:firstLine="562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．质保期外服务</w:t>
      </w:r>
    </w:p>
    <w:p>
      <w:pPr>
        <w:ind w:firstLine="56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质保期外若接到用户报修的函电时，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小时内做出响应，一般性故障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72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小时内到达现场，紧急事件2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小时内到达现场，保证故障在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48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小时内排除故障，对系统及设备进行维护或维修时，只收取成本费。</w:t>
      </w:r>
    </w:p>
    <w:p>
      <w:pPr>
        <w:ind w:firstLine="562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．其他承诺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（1）对系统改制、扩容、拆点等不同要求，应及时、准确地予以技术支持；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（2）定期免费对矿方相关人员进行专业操作培训。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80" w:bottom="1134" w:left="1083" w:header="708" w:footer="709" w:gutter="0"/>
      <w:pgNumType w:start="1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9072764"/>
      <w:docPartObj>
        <w:docPartGallery w:val="autotext"/>
      </w:docPartObj>
    </w:sdtPr>
    <w:sdtContent>
      <w:p>
        <w:pPr>
          <w:pStyle w:val="14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8EBD90"/>
    <w:multiLevelType w:val="singleLevel"/>
    <w:tmpl w:val="E28EBD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8EFEFDD"/>
    <w:multiLevelType w:val="singleLevel"/>
    <w:tmpl w:val="28EFEF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95B39EA"/>
    <w:multiLevelType w:val="multilevel"/>
    <w:tmpl w:val="295B39EA"/>
    <w:lvl w:ilvl="0" w:tentative="0">
      <w:start w:val="1"/>
      <w:numFmt w:val="decimal"/>
      <w:pStyle w:val="33"/>
      <w:lvlText w:val="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00328E"/>
    <w:multiLevelType w:val="multilevel"/>
    <w:tmpl w:val="2C00328E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34F266E6"/>
    <w:multiLevelType w:val="multilevel"/>
    <w:tmpl w:val="34F266E6"/>
    <w:lvl w:ilvl="0" w:tentative="0">
      <w:start w:val="1"/>
      <w:numFmt w:val="bullet"/>
      <w:pStyle w:val="55"/>
      <w:lvlText w:val=""/>
      <w:lvlJc w:val="left"/>
      <w:pPr>
        <w:ind w:left="11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OGJkM2ZlOGFiYzRkYzM5ZGJjMjM5MTNiNzc3MzcifQ=="/>
  </w:docVars>
  <w:rsids>
    <w:rsidRoot w:val="00D31D50"/>
    <w:rsid w:val="0000298F"/>
    <w:rsid w:val="00002A30"/>
    <w:rsid w:val="00003AB0"/>
    <w:rsid w:val="000317BC"/>
    <w:rsid w:val="0003429C"/>
    <w:rsid w:val="00036A28"/>
    <w:rsid w:val="000408A0"/>
    <w:rsid w:val="00043B86"/>
    <w:rsid w:val="00047399"/>
    <w:rsid w:val="00055D7D"/>
    <w:rsid w:val="00056FBA"/>
    <w:rsid w:val="00064825"/>
    <w:rsid w:val="000754A8"/>
    <w:rsid w:val="000762E5"/>
    <w:rsid w:val="00086AEC"/>
    <w:rsid w:val="000876A4"/>
    <w:rsid w:val="00093858"/>
    <w:rsid w:val="000B4F85"/>
    <w:rsid w:val="000B6851"/>
    <w:rsid w:val="000C1765"/>
    <w:rsid w:val="000D17AB"/>
    <w:rsid w:val="000D4872"/>
    <w:rsid w:val="000D7ACA"/>
    <w:rsid w:val="000D7E64"/>
    <w:rsid w:val="000F5895"/>
    <w:rsid w:val="000F6C66"/>
    <w:rsid w:val="0011708D"/>
    <w:rsid w:val="0014414C"/>
    <w:rsid w:val="00153EC0"/>
    <w:rsid w:val="001541AD"/>
    <w:rsid w:val="00160C7D"/>
    <w:rsid w:val="001642CD"/>
    <w:rsid w:val="00170AE2"/>
    <w:rsid w:val="00175405"/>
    <w:rsid w:val="0017766E"/>
    <w:rsid w:val="00180041"/>
    <w:rsid w:val="00181C8B"/>
    <w:rsid w:val="00183365"/>
    <w:rsid w:val="001945A1"/>
    <w:rsid w:val="001A1914"/>
    <w:rsid w:val="001A1D44"/>
    <w:rsid w:val="001C081A"/>
    <w:rsid w:val="001C218E"/>
    <w:rsid w:val="001C2772"/>
    <w:rsid w:val="001C2AD9"/>
    <w:rsid w:val="001E10A1"/>
    <w:rsid w:val="001E3577"/>
    <w:rsid w:val="001E507E"/>
    <w:rsid w:val="002030F9"/>
    <w:rsid w:val="00220CF1"/>
    <w:rsid w:val="00225F73"/>
    <w:rsid w:val="00227ACF"/>
    <w:rsid w:val="00232016"/>
    <w:rsid w:val="00232BB4"/>
    <w:rsid w:val="002352F5"/>
    <w:rsid w:val="00245121"/>
    <w:rsid w:val="002657A9"/>
    <w:rsid w:val="00275254"/>
    <w:rsid w:val="002756EB"/>
    <w:rsid w:val="0027737E"/>
    <w:rsid w:val="002927EC"/>
    <w:rsid w:val="00294AC6"/>
    <w:rsid w:val="00297F9C"/>
    <w:rsid w:val="002A4119"/>
    <w:rsid w:val="002A52F5"/>
    <w:rsid w:val="002B0A80"/>
    <w:rsid w:val="002B39AC"/>
    <w:rsid w:val="002B42A3"/>
    <w:rsid w:val="002B7FA4"/>
    <w:rsid w:val="002C1DBC"/>
    <w:rsid w:val="002C1E48"/>
    <w:rsid w:val="002D70A7"/>
    <w:rsid w:val="002E4A8D"/>
    <w:rsid w:val="003016E4"/>
    <w:rsid w:val="00305886"/>
    <w:rsid w:val="00314F49"/>
    <w:rsid w:val="00323B43"/>
    <w:rsid w:val="00330A6A"/>
    <w:rsid w:val="00344614"/>
    <w:rsid w:val="00344A97"/>
    <w:rsid w:val="003463C4"/>
    <w:rsid w:val="0034682C"/>
    <w:rsid w:val="00350161"/>
    <w:rsid w:val="003519C8"/>
    <w:rsid w:val="00364C9A"/>
    <w:rsid w:val="00366BA3"/>
    <w:rsid w:val="003712F7"/>
    <w:rsid w:val="0037600F"/>
    <w:rsid w:val="0038400E"/>
    <w:rsid w:val="003879F7"/>
    <w:rsid w:val="0039451F"/>
    <w:rsid w:val="003A032C"/>
    <w:rsid w:val="003B4F7C"/>
    <w:rsid w:val="003C75C5"/>
    <w:rsid w:val="003C76D4"/>
    <w:rsid w:val="003D37D8"/>
    <w:rsid w:val="003D4792"/>
    <w:rsid w:val="003D6F1E"/>
    <w:rsid w:val="003E5B3C"/>
    <w:rsid w:val="003E61AE"/>
    <w:rsid w:val="003E7325"/>
    <w:rsid w:val="003F279C"/>
    <w:rsid w:val="003F7505"/>
    <w:rsid w:val="004058E9"/>
    <w:rsid w:val="0040708C"/>
    <w:rsid w:val="00410C96"/>
    <w:rsid w:val="00417FE3"/>
    <w:rsid w:val="00420454"/>
    <w:rsid w:val="00421AD3"/>
    <w:rsid w:val="00424B24"/>
    <w:rsid w:val="0042529E"/>
    <w:rsid w:val="00426133"/>
    <w:rsid w:val="00426630"/>
    <w:rsid w:val="004358AB"/>
    <w:rsid w:val="00436874"/>
    <w:rsid w:val="00445CD0"/>
    <w:rsid w:val="00446EBE"/>
    <w:rsid w:val="00453B5B"/>
    <w:rsid w:val="00463236"/>
    <w:rsid w:val="0047101C"/>
    <w:rsid w:val="00472747"/>
    <w:rsid w:val="00477C14"/>
    <w:rsid w:val="00485DB7"/>
    <w:rsid w:val="0048703E"/>
    <w:rsid w:val="004875B4"/>
    <w:rsid w:val="004929C3"/>
    <w:rsid w:val="004A3C3A"/>
    <w:rsid w:val="004A7E74"/>
    <w:rsid w:val="004B7E6D"/>
    <w:rsid w:val="004C0B57"/>
    <w:rsid w:val="004C47FB"/>
    <w:rsid w:val="004D52C7"/>
    <w:rsid w:val="004D5E7D"/>
    <w:rsid w:val="004E2FD9"/>
    <w:rsid w:val="004E5BCE"/>
    <w:rsid w:val="004E72B9"/>
    <w:rsid w:val="004F3164"/>
    <w:rsid w:val="004F3627"/>
    <w:rsid w:val="0050028B"/>
    <w:rsid w:val="00507F4F"/>
    <w:rsid w:val="00511160"/>
    <w:rsid w:val="00511CB3"/>
    <w:rsid w:val="00512DA6"/>
    <w:rsid w:val="005141DB"/>
    <w:rsid w:val="00514831"/>
    <w:rsid w:val="005269AC"/>
    <w:rsid w:val="00530B94"/>
    <w:rsid w:val="005503B7"/>
    <w:rsid w:val="00564A42"/>
    <w:rsid w:val="005657EC"/>
    <w:rsid w:val="00573913"/>
    <w:rsid w:val="00582732"/>
    <w:rsid w:val="00585F56"/>
    <w:rsid w:val="00590FAB"/>
    <w:rsid w:val="005967EC"/>
    <w:rsid w:val="0059779A"/>
    <w:rsid w:val="005B0506"/>
    <w:rsid w:val="005B0B0E"/>
    <w:rsid w:val="005B34EA"/>
    <w:rsid w:val="005B5FB0"/>
    <w:rsid w:val="005B6A3D"/>
    <w:rsid w:val="005B76E7"/>
    <w:rsid w:val="005C0CA0"/>
    <w:rsid w:val="005C2355"/>
    <w:rsid w:val="005C55A4"/>
    <w:rsid w:val="005C560F"/>
    <w:rsid w:val="005D1036"/>
    <w:rsid w:val="005D1442"/>
    <w:rsid w:val="005E29C3"/>
    <w:rsid w:val="005E4F43"/>
    <w:rsid w:val="00602A0A"/>
    <w:rsid w:val="0060702A"/>
    <w:rsid w:val="00626975"/>
    <w:rsid w:val="0063009E"/>
    <w:rsid w:val="00634DAE"/>
    <w:rsid w:val="006358ED"/>
    <w:rsid w:val="00636E7B"/>
    <w:rsid w:val="00641A6D"/>
    <w:rsid w:val="006533B4"/>
    <w:rsid w:val="00653F04"/>
    <w:rsid w:val="00661FEA"/>
    <w:rsid w:val="00666345"/>
    <w:rsid w:val="006675A0"/>
    <w:rsid w:val="00670DDE"/>
    <w:rsid w:val="0068185C"/>
    <w:rsid w:val="00681E7A"/>
    <w:rsid w:val="00683878"/>
    <w:rsid w:val="00694E99"/>
    <w:rsid w:val="00696422"/>
    <w:rsid w:val="00696906"/>
    <w:rsid w:val="006973DC"/>
    <w:rsid w:val="006B335E"/>
    <w:rsid w:val="006B4D05"/>
    <w:rsid w:val="006B5A87"/>
    <w:rsid w:val="006C13D8"/>
    <w:rsid w:val="006C190A"/>
    <w:rsid w:val="006C4FD7"/>
    <w:rsid w:val="006D080C"/>
    <w:rsid w:val="006D2458"/>
    <w:rsid w:val="006E5D57"/>
    <w:rsid w:val="006E6F41"/>
    <w:rsid w:val="00711F31"/>
    <w:rsid w:val="00712F5B"/>
    <w:rsid w:val="00720979"/>
    <w:rsid w:val="00724C18"/>
    <w:rsid w:val="00727FE5"/>
    <w:rsid w:val="0073275A"/>
    <w:rsid w:val="00732ADE"/>
    <w:rsid w:val="00732F48"/>
    <w:rsid w:val="0073333C"/>
    <w:rsid w:val="00737770"/>
    <w:rsid w:val="00746588"/>
    <w:rsid w:val="0076377D"/>
    <w:rsid w:val="00766984"/>
    <w:rsid w:val="0076712C"/>
    <w:rsid w:val="00770AC4"/>
    <w:rsid w:val="00774565"/>
    <w:rsid w:val="007768A2"/>
    <w:rsid w:val="0079068B"/>
    <w:rsid w:val="00790AB7"/>
    <w:rsid w:val="007A41F6"/>
    <w:rsid w:val="007B2E10"/>
    <w:rsid w:val="007B3314"/>
    <w:rsid w:val="007C48B5"/>
    <w:rsid w:val="007C5642"/>
    <w:rsid w:val="007D16F4"/>
    <w:rsid w:val="007E21DF"/>
    <w:rsid w:val="007F0F45"/>
    <w:rsid w:val="007F512D"/>
    <w:rsid w:val="007F58C6"/>
    <w:rsid w:val="007F62E8"/>
    <w:rsid w:val="00800EFD"/>
    <w:rsid w:val="00801003"/>
    <w:rsid w:val="00802B0C"/>
    <w:rsid w:val="0080478D"/>
    <w:rsid w:val="00805EDF"/>
    <w:rsid w:val="00812915"/>
    <w:rsid w:val="00813D4C"/>
    <w:rsid w:val="0082197B"/>
    <w:rsid w:val="00824858"/>
    <w:rsid w:val="00832202"/>
    <w:rsid w:val="00834096"/>
    <w:rsid w:val="00841ECF"/>
    <w:rsid w:val="00847919"/>
    <w:rsid w:val="00850772"/>
    <w:rsid w:val="008516FC"/>
    <w:rsid w:val="008610E3"/>
    <w:rsid w:val="00861BD2"/>
    <w:rsid w:val="00862C48"/>
    <w:rsid w:val="00865FD5"/>
    <w:rsid w:val="0086680E"/>
    <w:rsid w:val="00870665"/>
    <w:rsid w:val="008750D5"/>
    <w:rsid w:val="008759E6"/>
    <w:rsid w:val="00886B22"/>
    <w:rsid w:val="00893698"/>
    <w:rsid w:val="00893EE3"/>
    <w:rsid w:val="00894E5C"/>
    <w:rsid w:val="008B48D2"/>
    <w:rsid w:val="008B7726"/>
    <w:rsid w:val="008C0ED6"/>
    <w:rsid w:val="008C732E"/>
    <w:rsid w:val="008C78F0"/>
    <w:rsid w:val="008D4E76"/>
    <w:rsid w:val="008D623E"/>
    <w:rsid w:val="008E37AC"/>
    <w:rsid w:val="008E4A3E"/>
    <w:rsid w:val="008E59E6"/>
    <w:rsid w:val="008F3B2A"/>
    <w:rsid w:val="008F772C"/>
    <w:rsid w:val="00901823"/>
    <w:rsid w:val="0090349C"/>
    <w:rsid w:val="009144C9"/>
    <w:rsid w:val="00931305"/>
    <w:rsid w:val="009332FB"/>
    <w:rsid w:val="00934C5F"/>
    <w:rsid w:val="00937160"/>
    <w:rsid w:val="00946277"/>
    <w:rsid w:val="00954697"/>
    <w:rsid w:val="0095510E"/>
    <w:rsid w:val="00955129"/>
    <w:rsid w:val="009666C2"/>
    <w:rsid w:val="00966DAE"/>
    <w:rsid w:val="00974780"/>
    <w:rsid w:val="009812E9"/>
    <w:rsid w:val="00982B5F"/>
    <w:rsid w:val="009A162A"/>
    <w:rsid w:val="009A270C"/>
    <w:rsid w:val="009A3D20"/>
    <w:rsid w:val="009A6317"/>
    <w:rsid w:val="009B68DA"/>
    <w:rsid w:val="009B787F"/>
    <w:rsid w:val="009C6DB9"/>
    <w:rsid w:val="009D2CF5"/>
    <w:rsid w:val="009D633B"/>
    <w:rsid w:val="009E0D34"/>
    <w:rsid w:val="009E7B1A"/>
    <w:rsid w:val="009F17E2"/>
    <w:rsid w:val="009F32DF"/>
    <w:rsid w:val="009F4D3B"/>
    <w:rsid w:val="009F6C85"/>
    <w:rsid w:val="00A13081"/>
    <w:rsid w:val="00A2365A"/>
    <w:rsid w:val="00A25BA5"/>
    <w:rsid w:val="00A34EE1"/>
    <w:rsid w:val="00A35FF2"/>
    <w:rsid w:val="00A3776D"/>
    <w:rsid w:val="00A43524"/>
    <w:rsid w:val="00A46152"/>
    <w:rsid w:val="00A75B07"/>
    <w:rsid w:val="00A810B2"/>
    <w:rsid w:val="00A82A4E"/>
    <w:rsid w:val="00A86870"/>
    <w:rsid w:val="00A86F46"/>
    <w:rsid w:val="00A8757F"/>
    <w:rsid w:val="00A930E0"/>
    <w:rsid w:val="00A93F83"/>
    <w:rsid w:val="00A94E9B"/>
    <w:rsid w:val="00AA30C2"/>
    <w:rsid w:val="00AB09B8"/>
    <w:rsid w:val="00AB4DA0"/>
    <w:rsid w:val="00AB717E"/>
    <w:rsid w:val="00AC1340"/>
    <w:rsid w:val="00AD0A95"/>
    <w:rsid w:val="00AE1DB0"/>
    <w:rsid w:val="00AE383F"/>
    <w:rsid w:val="00AE4B07"/>
    <w:rsid w:val="00AE6E81"/>
    <w:rsid w:val="00AF3FC8"/>
    <w:rsid w:val="00AF5F80"/>
    <w:rsid w:val="00B003A2"/>
    <w:rsid w:val="00B0506D"/>
    <w:rsid w:val="00B1196F"/>
    <w:rsid w:val="00B20D89"/>
    <w:rsid w:val="00B27BAC"/>
    <w:rsid w:val="00B428BE"/>
    <w:rsid w:val="00B5113D"/>
    <w:rsid w:val="00B539D6"/>
    <w:rsid w:val="00B56FD9"/>
    <w:rsid w:val="00B63385"/>
    <w:rsid w:val="00B64343"/>
    <w:rsid w:val="00B91733"/>
    <w:rsid w:val="00B932D8"/>
    <w:rsid w:val="00B93B44"/>
    <w:rsid w:val="00B966F5"/>
    <w:rsid w:val="00BA4469"/>
    <w:rsid w:val="00BA7912"/>
    <w:rsid w:val="00BB27B0"/>
    <w:rsid w:val="00BB74F9"/>
    <w:rsid w:val="00BD2711"/>
    <w:rsid w:val="00BD7D1D"/>
    <w:rsid w:val="00BE6ED7"/>
    <w:rsid w:val="00BF3F63"/>
    <w:rsid w:val="00C0184F"/>
    <w:rsid w:val="00C03EE3"/>
    <w:rsid w:val="00C11055"/>
    <w:rsid w:val="00C13583"/>
    <w:rsid w:val="00C16338"/>
    <w:rsid w:val="00C171B5"/>
    <w:rsid w:val="00C17375"/>
    <w:rsid w:val="00C37396"/>
    <w:rsid w:val="00C40681"/>
    <w:rsid w:val="00C4345C"/>
    <w:rsid w:val="00C51D67"/>
    <w:rsid w:val="00C636A4"/>
    <w:rsid w:val="00C6370E"/>
    <w:rsid w:val="00C65017"/>
    <w:rsid w:val="00C66DED"/>
    <w:rsid w:val="00C75E9A"/>
    <w:rsid w:val="00C82F5C"/>
    <w:rsid w:val="00C83CAD"/>
    <w:rsid w:val="00C851E0"/>
    <w:rsid w:val="00C95E0B"/>
    <w:rsid w:val="00CA0C1B"/>
    <w:rsid w:val="00CA26DE"/>
    <w:rsid w:val="00CB100C"/>
    <w:rsid w:val="00CC6349"/>
    <w:rsid w:val="00CD3E20"/>
    <w:rsid w:val="00CE05FC"/>
    <w:rsid w:val="00CE2421"/>
    <w:rsid w:val="00CF2C96"/>
    <w:rsid w:val="00D0342E"/>
    <w:rsid w:val="00D171ED"/>
    <w:rsid w:val="00D308F2"/>
    <w:rsid w:val="00D31D50"/>
    <w:rsid w:val="00D37DDE"/>
    <w:rsid w:val="00D52A8B"/>
    <w:rsid w:val="00D53280"/>
    <w:rsid w:val="00D6024E"/>
    <w:rsid w:val="00D63153"/>
    <w:rsid w:val="00D72603"/>
    <w:rsid w:val="00D80115"/>
    <w:rsid w:val="00D82B3C"/>
    <w:rsid w:val="00D82E4E"/>
    <w:rsid w:val="00D848AF"/>
    <w:rsid w:val="00D929FC"/>
    <w:rsid w:val="00D932C6"/>
    <w:rsid w:val="00DB5B01"/>
    <w:rsid w:val="00DB6B60"/>
    <w:rsid w:val="00DC4D6A"/>
    <w:rsid w:val="00DC55A7"/>
    <w:rsid w:val="00DF4561"/>
    <w:rsid w:val="00E00713"/>
    <w:rsid w:val="00E00B8F"/>
    <w:rsid w:val="00E10090"/>
    <w:rsid w:val="00E25860"/>
    <w:rsid w:val="00E3009E"/>
    <w:rsid w:val="00E30F1C"/>
    <w:rsid w:val="00E42E3B"/>
    <w:rsid w:val="00E42EFA"/>
    <w:rsid w:val="00E62C52"/>
    <w:rsid w:val="00E769DD"/>
    <w:rsid w:val="00E772AB"/>
    <w:rsid w:val="00E87192"/>
    <w:rsid w:val="00E87A78"/>
    <w:rsid w:val="00E97860"/>
    <w:rsid w:val="00EA1900"/>
    <w:rsid w:val="00EA78EA"/>
    <w:rsid w:val="00EB6EA6"/>
    <w:rsid w:val="00ED5395"/>
    <w:rsid w:val="00ED6520"/>
    <w:rsid w:val="00F04E6C"/>
    <w:rsid w:val="00F05B57"/>
    <w:rsid w:val="00F1458A"/>
    <w:rsid w:val="00F16A76"/>
    <w:rsid w:val="00F22DEA"/>
    <w:rsid w:val="00F235D7"/>
    <w:rsid w:val="00F240E6"/>
    <w:rsid w:val="00F451CC"/>
    <w:rsid w:val="00F500AD"/>
    <w:rsid w:val="00F53BE4"/>
    <w:rsid w:val="00F53F83"/>
    <w:rsid w:val="00F570B1"/>
    <w:rsid w:val="00F70EBB"/>
    <w:rsid w:val="00F815E0"/>
    <w:rsid w:val="00F9062C"/>
    <w:rsid w:val="00F938CB"/>
    <w:rsid w:val="00FA2838"/>
    <w:rsid w:val="00FB0320"/>
    <w:rsid w:val="00FB4C6A"/>
    <w:rsid w:val="00FC0E63"/>
    <w:rsid w:val="00FC3BE1"/>
    <w:rsid w:val="00FD032E"/>
    <w:rsid w:val="00FD1119"/>
    <w:rsid w:val="00FD23C7"/>
    <w:rsid w:val="00FE24FA"/>
    <w:rsid w:val="00FE3CD9"/>
    <w:rsid w:val="00FE4688"/>
    <w:rsid w:val="00FE5B04"/>
    <w:rsid w:val="00FF52C9"/>
    <w:rsid w:val="020777D2"/>
    <w:rsid w:val="02994ED7"/>
    <w:rsid w:val="03AE3B75"/>
    <w:rsid w:val="03D85DB1"/>
    <w:rsid w:val="03D9250A"/>
    <w:rsid w:val="04AC7DC0"/>
    <w:rsid w:val="0517109F"/>
    <w:rsid w:val="051C7196"/>
    <w:rsid w:val="085D5D58"/>
    <w:rsid w:val="0A1A7B12"/>
    <w:rsid w:val="0A564FE9"/>
    <w:rsid w:val="0B48546A"/>
    <w:rsid w:val="0B752C08"/>
    <w:rsid w:val="0B7F5936"/>
    <w:rsid w:val="0C2D51E3"/>
    <w:rsid w:val="0C8E13BA"/>
    <w:rsid w:val="0D3C4ED1"/>
    <w:rsid w:val="0E5B5C7D"/>
    <w:rsid w:val="0EA7115E"/>
    <w:rsid w:val="0F8D2D61"/>
    <w:rsid w:val="12046B7D"/>
    <w:rsid w:val="12417951"/>
    <w:rsid w:val="12455D2C"/>
    <w:rsid w:val="13084B1D"/>
    <w:rsid w:val="13FA6DD1"/>
    <w:rsid w:val="15296444"/>
    <w:rsid w:val="165D1F26"/>
    <w:rsid w:val="166E4F73"/>
    <w:rsid w:val="167E04C9"/>
    <w:rsid w:val="16970417"/>
    <w:rsid w:val="16B41001"/>
    <w:rsid w:val="174F7052"/>
    <w:rsid w:val="17E5314E"/>
    <w:rsid w:val="17EE3EC4"/>
    <w:rsid w:val="182F4B4D"/>
    <w:rsid w:val="18A118C3"/>
    <w:rsid w:val="19603C97"/>
    <w:rsid w:val="19B3675B"/>
    <w:rsid w:val="1A2A3CFE"/>
    <w:rsid w:val="1A751F4C"/>
    <w:rsid w:val="1B206A7F"/>
    <w:rsid w:val="1B5963A1"/>
    <w:rsid w:val="1B6105C1"/>
    <w:rsid w:val="1C1A1C68"/>
    <w:rsid w:val="1C3D0E46"/>
    <w:rsid w:val="1C9C4C8F"/>
    <w:rsid w:val="1DD41E85"/>
    <w:rsid w:val="1DE77AC8"/>
    <w:rsid w:val="1E8745DB"/>
    <w:rsid w:val="2041702C"/>
    <w:rsid w:val="21426017"/>
    <w:rsid w:val="2194482F"/>
    <w:rsid w:val="223119BE"/>
    <w:rsid w:val="22413E83"/>
    <w:rsid w:val="22B52A68"/>
    <w:rsid w:val="22BE7018"/>
    <w:rsid w:val="23C61D14"/>
    <w:rsid w:val="25766063"/>
    <w:rsid w:val="26481CAA"/>
    <w:rsid w:val="2730772D"/>
    <w:rsid w:val="274E5679"/>
    <w:rsid w:val="279B2502"/>
    <w:rsid w:val="27A833EA"/>
    <w:rsid w:val="285A06AA"/>
    <w:rsid w:val="28623638"/>
    <w:rsid w:val="288058F0"/>
    <w:rsid w:val="2A301909"/>
    <w:rsid w:val="2B1255AD"/>
    <w:rsid w:val="2B66078F"/>
    <w:rsid w:val="2B846E20"/>
    <w:rsid w:val="2BAA0220"/>
    <w:rsid w:val="2C0E408A"/>
    <w:rsid w:val="2C1B32E7"/>
    <w:rsid w:val="2DEF05EC"/>
    <w:rsid w:val="2E890A78"/>
    <w:rsid w:val="30D40584"/>
    <w:rsid w:val="31305FD9"/>
    <w:rsid w:val="31AF3A77"/>
    <w:rsid w:val="31D30E4C"/>
    <w:rsid w:val="32706E51"/>
    <w:rsid w:val="32E44CEB"/>
    <w:rsid w:val="33163C18"/>
    <w:rsid w:val="33637BA3"/>
    <w:rsid w:val="33EA7DC6"/>
    <w:rsid w:val="34517D7E"/>
    <w:rsid w:val="34CB663A"/>
    <w:rsid w:val="359F4835"/>
    <w:rsid w:val="369A12D5"/>
    <w:rsid w:val="3847230B"/>
    <w:rsid w:val="39093A04"/>
    <w:rsid w:val="39A24808"/>
    <w:rsid w:val="3B151DD0"/>
    <w:rsid w:val="3BBB6072"/>
    <w:rsid w:val="3BE3227E"/>
    <w:rsid w:val="3C2F5ABA"/>
    <w:rsid w:val="3C733EB5"/>
    <w:rsid w:val="3D2E2B17"/>
    <w:rsid w:val="3D4A7458"/>
    <w:rsid w:val="3E7524EC"/>
    <w:rsid w:val="3E86538E"/>
    <w:rsid w:val="3F010673"/>
    <w:rsid w:val="3F59242C"/>
    <w:rsid w:val="3F7A3302"/>
    <w:rsid w:val="41001552"/>
    <w:rsid w:val="417D2A82"/>
    <w:rsid w:val="41AB3FC7"/>
    <w:rsid w:val="425C3F3D"/>
    <w:rsid w:val="42921BC7"/>
    <w:rsid w:val="434871E4"/>
    <w:rsid w:val="43F6671C"/>
    <w:rsid w:val="455D3B30"/>
    <w:rsid w:val="45F57A70"/>
    <w:rsid w:val="46436CD8"/>
    <w:rsid w:val="4754713D"/>
    <w:rsid w:val="47AF600A"/>
    <w:rsid w:val="481949F8"/>
    <w:rsid w:val="48605B53"/>
    <w:rsid w:val="493048D0"/>
    <w:rsid w:val="4A1E06E8"/>
    <w:rsid w:val="4A2C0FCE"/>
    <w:rsid w:val="4A463E04"/>
    <w:rsid w:val="4BAE1149"/>
    <w:rsid w:val="4C6C0ECD"/>
    <w:rsid w:val="4C6D54D2"/>
    <w:rsid w:val="4CD10FA4"/>
    <w:rsid w:val="4E55767A"/>
    <w:rsid w:val="4EAD3FEC"/>
    <w:rsid w:val="4FC41FFB"/>
    <w:rsid w:val="50701AAD"/>
    <w:rsid w:val="52102EEE"/>
    <w:rsid w:val="527A2C54"/>
    <w:rsid w:val="52BE01DC"/>
    <w:rsid w:val="52D4136D"/>
    <w:rsid w:val="548F022F"/>
    <w:rsid w:val="54DC48C3"/>
    <w:rsid w:val="55285983"/>
    <w:rsid w:val="557F35FB"/>
    <w:rsid w:val="55ED4523"/>
    <w:rsid w:val="56557F73"/>
    <w:rsid w:val="56F1578E"/>
    <w:rsid w:val="577C7FF4"/>
    <w:rsid w:val="5793528B"/>
    <w:rsid w:val="579F769C"/>
    <w:rsid w:val="57F347A6"/>
    <w:rsid w:val="582236D2"/>
    <w:rsid w:val="583C680D"/>
    <w:rsid w:val="587B1A70"/>
    <w:rsid w:val="58C461F6"/>
    <w:rsid w:val="5A570284"/>
    <w:rsid w:val="5A68171D"/>
    <w:rsid w:val="5A756340"/>
    <w:rsid w:val="5BE80BA6"/>
    <w:rsid w:val="5BFA5947"/>
    <w:rsid w:val="5C143024"/>
    <w:rsid w:val="5C3D1100"/>
    <w:rsid w:val="5D423405"/>
    <w:rsid w:val="5D4A51B7"/>
    <w:rsid w:val="5DDD36CD"/>
    <w:rsid w:val="5EC37E73"/>
    <w:rsid w:val="5F6653AA"/>
    <w:rsid w:val="5F7D0041"/>
    <w:rsid w:val="636A7E5B"/>
    <w:rsid w:val="637021DE"/>
    <w:rsid w:val="63AA4F7B"/>
    <w:rsid w:val="6452565B"/>
    <w:rsid w:val="663F3BFB"/>
    <w:rsid w:val="683D5BAE"/>
    <w:rsid w:val="695056F2"/>
    <w:rsid w:val="69EB2D0B"/>
    <w:rsid w:val="6B254DC0"/>
    <w:rsid w:val="6B4319F5"/>
    <w:rsid w:val="6B646440"/>
    <w:rsid w:val="6BCD598D"/>
    <w:rsid w:val="6C296659"/>
    <w:rsid w:val="6CA160A1"/>
    <w:rsid w:val="6CEA11B7"/>
    <w:rsid w:val="6D436320"/>
    <w:rsid w:val="6D7E4FED"/>
    <w:rsid w:val="6E1C04E1"/>
    <w:rsid w:val="6E6F07D1"/>
    <w:rsid w:val="6EFA122F"/>
    <w:rsid w:val="6FC51AF2"/>
    <w:rsid w:val="72BE5F1D"/>
    <w:rsid w:val="737B1ECE"/>
    <w:rsid w:val="73991CFD"/>
    <w:rsid w:val="7422718A"/>
    <w:rsid w:val="769644B3"/>
    <w:rsid w:val="775C0F71"/>
    <w:rsid w:val="77F00BE5"/>
    <w:rsid w:val="78FD5A6F"/>
    <w:rsid w:val="7953190D"/>
    <w:rsid w:val="79D76CA0"/>
    <w:rsid w:val="7AE67ABF"/>
    <w:rsid w:val="7B4C6D72"/>
    <w:rsid w:val="7C577D24"/>
    <w:rsid w:val="7C5863FF"/>
    <w:rsid w:val="7C983899"/>
    <w:rsid w:val="7CAA113C"/>
    <w:rsid w:val="7D99133D"/>
    <w:rsid w:val="7E093FFC"/>
    <w:rsid w:val="7E226387"/>
    <w:rsid w:val="7EE23862"/>
    <w:rsid w:val="7EEB0636"/>
    <w:rsid w:val="7EF424BD"/>
    <w:rsid w:val="7FA0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qFormat="1" w:uiPriority="39" w:semiHidden="0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spacing w:before="100" w:beforeLines="100" w:after="100" w:afterLines="100"/>
      <w:ind w:firstLineChars="0"/>
      <w:contextualSpacing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29"/>
    <w:unhideWhenUsed/>
    <w:qFormat/>
    <w:uiPriority w:val="9"/>
    <w:pPr>
      <w:keepNext/>
      <w:keepLines/>
      <w:numPr>
        <w:ilvl w:val="1"/>
        <w:numId w:val="1"/>
      </w:numPr>
      <w:spacing w:before="100" w:beforeAutospacing="1" w:after="100" w:afterAutospacing="1"/>
      <w:ind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0"/>
    <w:unhideWhenUsed/>
    <w:qFormat/>
    <w:uiPriority w:val="9"/>
    <w:pPr>
      <w:keepNext/>
      <w:keepLines/>
      <w:numPr>
        <w:ilvl w:val="2"/>
        <w:numId w:val="1"/>
      </w:numPr>
      <w:spacing w:before="260" w:after="260"/>
      <w:ind w:firstLineChars="0"/>
      <w:outlineLvl w:val="2"/>
    </w:pPr>
    <w:rPr>
      <w:b/>
      <w:bCs/>
      <w:sz w:val="24"/>
      <w:szCs w:val="32"/>
    </w:rPr>
  </w:style>
  <w:style w:type="paragraph" w:styleId="6">
    <w:name w:val="heading 4"/>
    <w:basedOn w:val="1"/>
    <w:next w:val="1"/>
    <w:link w:val="45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Document Map"/>
    <w:basedOn w:val="1"/>
    <w:link w:val="28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9"/>
    <w:qFormat/>
    <w:uiPriority w:val="0"/>
  </w:style>
  <w:style w:type="paragraph" w:customStyle="1" w:styleId="9">
    <w:name w:val="Footnote Base"/>
    <w:basedOn w:val="1"/>
    <w:qFormat/>
    <w:uiPriority w:val="0"/>
    <w:pPr>
      <w:keepLines/>
      <w:spacing w:line="200" w:lineRule="atLeast"/>
      <w:ind w:left="1080"/>
    </w:pPr>
    <w:rPr>
      <w:rFonts w:ascii="Arial" w:hAnsi="Arial" w:cs="Times New Roman"/>
      <w:spacing w:val="-5"/>
      <w:sz w:val="16"/>
      <w:szCs w:val="20"/>
    </w:r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toc 8"/>
    <w:basedOn w:val="1"/>
    <w:next w:val="1"/>
    <w:unhideWhenUsed/>
    <w:qFormat/>
    <w:uiPriority w:val="39"/>
    <w:pPr>
      <w:widowControl w:val="0"/>
      <w:ind w:left="2940" w:leftChars="1400"/>
      <w:jc w:val="both"/>
    </w:pPr>
  </w:style>
  <w:style w:type="paragraph" w:styleId="1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4">
    <w:name w:val="footer"/>
    <w:basedOn w:val="1"/>
    <w:next w:val="12"/>
    <w:link w:val="37"/>
    <w:unhideWhenUsed/>
    <w:qFormat/>
    <w:uiPriority w:val="99"/>
    <w:pPr>
      <w:tabs>
        <w:tab w:val="center" w:pos="4320"/>
        <w:tab w:val="right" w:pos="8640"/>
      </w:tabs>
      <w:adjustRightInd/>
      <w:snapToGrid/>
      <w:spacing w:line="276" w:lineRule="auto"/>
      <w:ind w:firstLine="0" w:firstLineChars="0"/>
    </w:pPr>
    <w:rPr>
      <w:sz w:val="22"/>
    </w:rPr>
  </w:style>
  <w:style w:type="paragraph" w:styleId="15">
    <w:name w:val="header"/>
    <w:basedOn w:val="1"/>
    <w:link w:val="47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  <w:ind w:firstLine="0" w:firstLineChars="0"/>
    </w:pPr>
    <w:rPr>
      <w:rFonts w:ascii="宋体" w:hAnsi="宋体" w:eastAsia="宋体" w:cs="宋体"/>
      <w:szCs w:val="24"/>
    </w:rPr>
  </w:style>
  <w:style w:type="table" w:styleId="19">
    <w:name w:val="Table Grid"/>
    <w:basedOn w:val="18"/>
    <w:qFormat/>
    <w:uiPriority w:val="39"/>
    <w:pPr>
      <w:ind w:firstLine="360"/>
    </w:pPr>
    <w:rPr>
      <w:rFonts w:eastAsiaTheme="minorEastAsia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表格文字"/>
    <w:basedOn w:val="11"/>
    <w:next w:val="1"/>
    <w:qFormat/>
    <w:uiPriority w:val="0"/>
    <w:pPr>
      <w:spacing w:line="420" w:lineRule="atLeast"/>
      <w:textAlignment w:val="baseline"/>
    </w:p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字符"/>
    <w:basedOn w:val="20"/>
    <w:link w:val="24"/>
    <w:qFormat/>
    <w:uiPriority w:val="1"/>
    <w:rPr>
      <w:rFonts w:eastAsiaTheme="minorEastAsia"/>
    </w:rPr>
  </w:style>
  <w:style w:type="character" w:customStyle="1" w:styleId="26">
    <w:name w:val="批注框文本 字符"/>
    <w:basedOn w:val="20"/>
    <w:link w:val="13"/>
    <w:semiHidden/>
    <w:qFormat/>
    <w:uiPriority w:val="99"/>
    <w:rPr>
      <w:rFonts w:ascii="Tahoma" w:hAnsi="Tahoma"/>
      <w:sz w:val="18"/>
      <w:szCs w:val="18"/>
    </w:rPr>
  </w:style>
  <w:style w:type="character" w:customStyle="1" w:styleId="27">
    <w:name w:val="标题 1 字符"/>
    <w:basedOn w:val="20"/>
    <w:link w:val="3"/>
    <w:qFormat/>
    <w:uiPriority w:val="9"/>
    <w:rPr>
      <w:rFonts w:ascii="Tahoma" w:hAnsi="Tahoma" w:eastAsia="黑体" w:cstheme="minorBidi"/>
      <w:bCs/>
      <w:kern w:val="44"/>
      <w:sz w:val="32"/>
      <w:szCs w:val="44"/>
    </w:rPr>
  </w:style>
  <w:style w:type="character" w:customStyle="1" w:styleId="28">
    <w:name w:val="文档结构图 字符"/>
    <w:basedOn w:val="20"/>
    <w:link w:val="7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9">
    <w:name w:val="标题 2 字符"/>
    <w:basedOn w:val="20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30">
    <w:name w:val="标题 3 字符"/>
    <w:basedOn w:val="20"/>
    <w:link w:val="5"/>
    <w:qFormat/>
    <w:uiPriority w:val="9"/>
    <w:rPr>
      <w:rFonts w:asciiTheme="minorHAnsi" w:hAnsiTheme="minorHAnsi" w:eastAsiaTheme="minorEastAsia" w:cstheme="minorBidi"/>
      <w:b/>
      <w:bCs/>
      <w:sz w:val="24"/>
      <w:szCs w:val="32"/>
    </w:rPr>
  </w:style>
  <w:style w:type="paragraph" w:customStyle="1" w:styleId="31">
    <w:name w:val="列出段落1"/>
    <w:basedOn w:val="1"/>
    <w:qFormat/>
    <w:uiPriority w:val="34"/>
    <w:pPr>
      <w:widowControl w:val="0"/>
      <w:adjustRightInd/>
      <w:snapToGrid/>
      <w:ind w:firstLine="420"/>
      <w:jc w:val="both"/>
    </w:pPr>
    <w:rPr>
      <w:kern w:val="2"/>
      <w:sz w:val="21"/>
    </w:rPr>
  </w:style>
  <w:style w:type="paragraph" w:styleId="32">
    <w:name w:val="List Paragraph"/>
    <w:basedOn w:val="1"/>
    <w:qFormat/>
    <w:uiPriority w:val="34"/>
    <w:pPr>
      <w:ind w:firstLine="420"/>
    </w:pPr>
  </w:style>
  <w:style w:type="paragraph" w:customStyle="1" w:styleId="33">
    <w:name w:val="Style4"/>
    <w:basedOn w:val="1"/>
    <w:link w:val="36"/>
    <w:qFormat/>
    <w:uiPriority w:val="0"/>
    <w:pPr>
      <w:numPr>
        <w:ilvl w:val="0"/>
        <w:numId w:val="2"/>
      </w:numPr>
      <w:adjustRightInd/>
      <w:snapToGrid/>
      <w:spacing w:afterLines="50"/>
      <w:ind w:firstLine="0" w:firstLineChars="0"/>
      <w:jc w:val="both"/>
    </w:pPr>
    <w:rPr>
      <w:rFonts w:ascii="宋体" w:hAnsi="宋体" w:eastAsia="宋体"/>
      <w:sz w:val="21"/>
      <w:szCs w:val="21"/>
    </w:rPr>
  </w:style>
  <w:style w:type="paragraph" w:customStyle="1" w:styleId="34">
    <w:name w:val="Style3"/>
    <w:basedOn w:val="1"/>
    <w:link w:val="35"/>
    <w:qFormat/>
    <w:uiPriority w:val="0"/>
    <w:pPr>
      <w:adjustRightInd/>
      <w:snapToGrid/>
      <w:spacing w:after="100" w:afterAutospacing="1"/>
      <w:ind w:firstLine="420"/>
      <w:jc w:val="both"/>
    </w:pPr>
    <w:rPr>
      <w:rFonts w:asciiTheme="majorEastAsia" w:hAnsiTheme="majorEastAsia" w:eastAsiaTheme="majorEastAsia"/>
      <w:sz w:val="21"/>
      <w:szCs w:val="21"/>
    </w:rPr>
  </w:style>
  <w:style w:type="character" w:customStyle="1" w:styleId="35">
    <w:name w:val="Style3 Char"/>
    <w:basedOn w:val="20"/>
    <w:link w:val="34"/>
    <w:qFormat/>
    <w:uiPriority w:val="0"/>
    <w:rPr>
      <w:rFonts w:asciiTheme="majorEastAsia" w:hAnsiTheme="majorEastAsia" w:eastAsiaTheme="majorEastAsia"/>
      <w:sz w:val="21"/>
      <w:szCs w:val="21"/>
    </w:rPr>
  </w:style>
  <w:style w:type="character" w:customStyle="1" w:styleId="36">
    <w:name w:val="Style4 Char"/>
    <w:basedOn w:val="35"/>
    <w:link w:val="33"/>
    <w:qFormat/>
    <w:uiPriority w:val="0"/>
    <w:rPr>
      <w:rFonts w:ascii="宋体" w:hAnsi="宋体" w:eastAsia="宋体"/>
      <w:sz w:val="21"/>
      <w:szCs w:val="21"/>
    </w:rPr>
  </w:style>
  <w:style w:type="character" w:customStyle="1" w:styleId="37">
    <w:name w:val="页脚 字符"/>
    <w:basedOn w:val="20"/>
    <w:link w:val="14"/>
    <w:qFormat/>
    <w:uiPriority w:val="99"/>
    <w:rPr>
      <w:rFonts w:eastAsiaTheme="minorEastAsia"/>
    </w:rPr>
  </w:style>
  <w:style w:type="paragraph" w:customStyle="1" w:styleId="38">
    <w:name w:val="TOC 标题1"/>
    <w:basedOn w:val="3"/>
    <w:next w:val="1"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table" w:customStyle="1" w:styleId="39">
    <w:name w:val="网格型1"/>
    <w:basedOn w:val="1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31"/>
    <w:basedOn w:val="20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42">
    <w:name w:val="font21"/>
    <w:basedOn w:val="20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perscript"/>
    </w:rPr>
  </w:style>
  <w:style w:type="paragraph" w:customStyle="1" w:styleId="43">
    <w:name w:val="Default"/>
    <w:qFormat/>
    <w:uiPriority w:val="99"/>
    <w:pPr>
      <w:widowControl w:val="0"/>
      <w:autoSpaceDE w:val="0"/>
      <w:autoSpaceDN w:val="0"/>
      <w:adjustRightInd w:val="0"/>
      <w:spacing w:line="500" w:lineRule="exact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5">
    <w:name w:val="标题 4 字符"/>
    <w:basedOn w:val="20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6">
    <w:name w:val="正文 A A"/>
    <w:qFormat/>
    <w:uiPriority w:val="0"/>
    <w:pPr>
      <w:spacing w:line="360" w:lineRule="auto"/>
    </w:pPr>
    <w:rPr>
      <w:rFonts w:ascii="Lucida Grande" w:hAnsi="Lucida Grande" w:eastAsia="ヒラギノ角ゴ Pro W3" w:cs="Times New Roman"/>
      <w:color w:val="000000"/>
      <w:kern w:val="2"/>
      <w:sz w:val="24"/>
      <w:lang w:val="en-US" w:eastAsia="zh-CN" w:bidi="ar-SA"/>
    </w:rPr>
  </w:style>
  <w:style w:type="character" w:customStyle="1" w:styleId="47">
    <w:name w:val="页眉 字符"/>
    <w:basedOn w:val="20"/>
    <w:link w:val="15"/>
    <w:qFormat/>
    <w:uiPriority w:val="99"/>
    <w:rPr>
      <w:rFonts w:ascii="Tahoma" w:hAnsi="Tahoma" w:eastAsiaTheme="minorEastAsia" w:cstheme="minorBidi"/>
      <w:sz w:val="18"/>
      <w:szCs w:val="22"/>
    </w:rPr>
  </w:style>
  <w:style w:type="paragraph" w:customStyle="1" w:styleId="48">
    <w:name w:val="ql-align-center"/>
    <w:basedOn w:val="1"/>
    <w:qFormat/>
    <w:uiPriority w:val="0"/>
    <w:pPr>
      <w:adjustRightInd/>
      <w:snapToGrid/>
      <w:spacing w:before="100" w:beforeAutospacing="1" w:after="100" w:afterAutospacing="1"/>
      <w:ind w:firstLine="0" w:firstLineChars="0"/>
    </w:pPr>
    <w:rPr>
      <w:rFonts w:ascii="宋体" w:hAnsi="宋体" w:eastAsia="宋体" w:cs="宋体"/>
      <w:szCs w:val="24"/>
    </w:rPr>
  </w:style>
  <w:style w:type="paragraph" w:customStyle="1" w:styleId="49">
    <w:name w:val="TOC 标题2"/>
    <w:basedOn w:val="3"/>
    <w:next w:val="1"/>
    <w:unhideWhenUsed/>
    <w:qFormat/>
    <w:uiPriority w:val="39"/>
    <w:pPr>
      <w:numPr>
        <w:numId w:val="0"/>
      </w:numPr>
      <w:adjustRightInd/>
      <w:snapToGrid/>
      <w:spacing w:before="240" w:after="0" w:line="259" w:lineRule="auto"/>
      <w:outlineLvl w:val="9"/>
    </w:pPr>
    <w:rPr>
      <w:rFonts w:asciiTheme="majorHAnsi" w:hAnsiTheme="majorHAnsi" w:eastAsiaTheme="majorEastAsia" w:cstheme="majorBidi"/>
      <w:bCs w:val="0"/>
      <w:color w:val="376092" w:themeColor="accent1" w:themeShade="BF"/>
      <w:kern w:val="0"/>
      <w:szCs w:val="32"/>
    </w:rPr>
  </w:style>
  <w:style w:type="paragraph" w:customStyle="1" w:styleId="50">
    <w:name w:val="．正文"/>
    <w:basedOn w:val="1"/>
    <w:link w:val="51"/>
    <w:uiPriority w:val="0"/>
    <w:pPr>
      <w:adjustRightInd/>
      <w:spacing w:line="360" w:lineRule="auto"/>
      <w:ind w:firstLine="480"/>
    </w:pPr>
    <w:rPr>
      <w:rFonts w:ascii="宋体" w:hAnsi="宋体" w:eastAsia="宋体" w:cs="Times New Roman"/>
      <w:color w:val="000000"/>
      <w:szCs w:val="24"/>
    </w:rPr>
  </w:style>
  <w:style w:type="character" w:customStyle="1" w:styleId="51">
    <w:name w:val="．正文 Char"/>
    <w:link w:val="50"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52">
    <w:name w:val="*正文"/>
    <w:basedOn w:val="1"/>
    <w:link w:val="53"/>
    <w:qFormat/>
    <w:uiPriority w:val="0"/>
    <w:pPr>
      <w:widowControl w:val="0"/>
      <w:adjustRightInd/>
      <w:snapToGrid/>
      <w:spacing w:line="360" w:lineRule="auto"/>
      <w:ind w:firstLine="480"/>
      <w:jc w:val="both"/>
    </w:pPr>
    <w:rPr>
      <w:rFonts w:ascii="宋体" w:hAnsi="宋体" w:eastAsia="宋体" w:cs="黑体"/>
      <w:kern w:val="2"/>
      <w:szCs w:val="21"/>
    </w:rPr>
  </w:style>
  <w:style w:type="character" w:customStyle="1" w:styleId="53">
    <w:name w:val="*正文 Char"/>
    <w:link w:val="52"/>
    <w:qFormat/>
    <w:uiPriority w:val="0"/>
    <w:rPr>
      <w:rFonts w:ascii="宋体" w:hAnsi="宋体" w:cs="黑体"/>
      <w:kern w:val="2"/>
      <w:sz w:val="24"/>
      <w:szCs w:val="21"/>
    </w:rPr>
  </w:style>
  <w:style w:type="character" w:customStyle="1" w:styleId="54">
    <w:name w:val="font0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55">
    <w:name w:val="样式2"/>
    <w:basedOn w:val="31"/>
    <w:qFormat/>
    <w:uiPriority w:val="0"/>
    <w:pPr>
      <w:numPr>
        <w:ilvl w:val="0"/>
        <w:numId w:val="3"/>
      </w:numPr>
      <w:snapToGrid w:val="0"/>
      <w:spacing w:line="360" w:lineRule="auto"/>
      <w:ind w:firstLine="0" w:firstLineChars="0"/>
      <w:contextualSpacing/>
      <w:jc w:val="left"/>
    </w:pPr>
    <w:rPr>
      <w:rFonts w:ascii="宋体" w:hAnsi="宋体" w:eastAsia="宋体" w:cs="Times New Roman"/>
      <w:b/>
      <w:spacing w:val="20"/>
      <w:sz w:val="24"/>
      <w:szCs w:val="21"/>
    </w:rPr>
  </w:style>
  <w:style w:type="paragraph" w:customStyle="1" w:styleId="56">
    <w:name w:val=".正文"/>
    <w:basedOn w:val="1"/>
    <w:link w:val="57"/>
    <w:qFormat/>
    <w:uiPriority w:val="0"/>
    <w:pPr>
      <w:widowControl w:val="0"/>
      <w:adjustRightInd/>
      <w:snapToGrid/>
      <w:spacing w:line="360" w:lineRule="auto"/>
      <w:ind w:firstLine="480"/>
      <w:jc w:val="both"/>
    </w:pPr>
    <w:rPr>
      <w:rFonts w:ascii="宋体" w:hAnsi="宋体" w:eastAsia="宋体" w:cs="Times New Roman"/>
      <w:kern w:val="2"/>
      <w:szCs w:val="21"/>
    </w:rPr>
  </w:style>
  <w:style w:type="character" w:customStyle="1" w:styleId="57">
    <w:name w:val=".正文 Char"/>
    <w:link w:val="56"/>
    <w:qFormat/>
    <w:uiPriority w:val="0"/>
    <w:rPr>
      <w:rFonts w:ascii="宋体" w:hAnsi="宋体"/>
      <w:kern w:val="2"/>
      <w:sz w:val="24"/>
      <w:szCs w:val="21"/>
    </w:rPr>
  </w:style>
  <w:style w:type="table" w:customStyle="1" w:styleId="58">
    <w:name w:val="清单表 4 - 着色 11"/>
    <w:basedOn w:val="1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9">
    <w:name w:val="清单表 4 - 着色 51"/>
    <w:basedOn w:val="1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0">
    <w:name w:val="网格表 4 - 着色 11"/>
    <w:basedOn w:val="1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1772B1-CBA1-47BE-A4F9-788436C65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淄博祥龙测控技术有限公司</Company>
  <Pages>5</Pages>
  <Words>2755</Words>
  <Characters>3315</Characters>
  <Lines>27</Lines>
  <Paragraphs>7</Paragraphs>
  <TotalTime>10</TotalTime>
  <ScaleCrop>false</ScaleCrop>
  <LinksUpToDate>false</LinksUpToDate>
  <CharactersWithSpaces>3343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2018-10-25T08:14:00Z</dcterms:created>
  <dc:creator>Administrato</dc:creator>
  <cp:lastModifiedBy>时光</cp:lastModifiedBy>
  <dcterms:modified xsi:type="dcterms:W3CDTF">2023-08-14T03:18:32Z</dcterms:modified>
  <dc:subject>设计方案</dc:subject>
  <dc:title>KJ1121煤矿采空区火灾多参数监测定系统技术方案</dc:title>
  <cp:revision>374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607E5F0CC16E4DAB9E6701AF353F39EB_13</vt:lpwstr>
  </property>
</Properties>
</file>