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移动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eastAsia="zh-CN"/>
        </w:rPr>
        <w:t>制氮装置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技术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要求</w:t>
      </w:r>
      <w:bookmarkStart w:id="0" w:name="_GoBack"/>
      <w:bookmarkEnd w:id="0"/>
    </w:p>
    <w:p>
      <w:pPr>
        <w:pStyle w:val="5"/>
        <w:widowControl w:val="0"/>
        <w:numPr>
          <w:ilvl w:val="0"/>
          <w:numId w:val="1"/>
        </w:numPr>
        <w:adjustRightInd w:val="0"/>
        <w:snapToGrid w:val="0"/>
        <w:spacing w:after="0" w:line="520" w:lineRule="exact"/>
        <w:ind w:left="0" w:leftChars="0" w:right="-512" w:rightChars="-244" w:firstLine="578" w:firstLineChars="200"/>
        <w:rPr>
          <w:rFonts w:ascii="仿宋" w:hAnsi="仿宋" w:eastAsia="仿宋" w:cs="仿宋"/>
          <w:b/>
          <w:bCs/>
          <w:spacing w:val="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4"/>
          <w:sz w:val="28"/>
          <w:szCs w:val="28"/>
        </w:rPr>
        <w:t>使用环境概述：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环境温度为1℃～+40℃；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环境空气湿度不大于95%(+25℃)；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有甲烷和煤尘等爆炸危险的矿井中；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无破坏绝缘气体的矿井中；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无显著振动和冲击的地方。</w:t>
      </w:r>
    </w:p>
    <w:p>
      <w:pPr>
        <w:numPr>
          <w:ilvl w:val="0"/>
          <w:numId w:val="2"/>
        </w:numPr>
        <w:tabs>
          <w:tab w:val="left" w:pos="6729"/>
        </w:tabs>
        <w:adjustRightInd w:val="0"/>
        <w:snapToGrid w:val="0"/>
        <w:spacing w:line="520" w:lineRule="exact"/>
        <w:ind w:firstLine="578" w:firstLineChars="200"/>
        <w:rPr>
          <w:rFonts w:ascii="仿宋" w:hAnsi="仿宋" w:eastAsia="仿宋" w:cs="仿宋"/>
          <w:b/>
          <w:bCs/>
          <w:spacing w:val="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4"/>
          <w:sz w:val="28"/>
          <w:szCs w:val="28"/>
        </w:rPr>
        <w:t>技术参数及配置要求：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2.1主要技术参数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2.1.1氮气流量：600Nm</w:t>
      </w:r>
      <w:r>
        <w:rPr>
          <w:rFonts w:hint="eastAsia" w:ascii="仿宋" w:hAnsi="仿宋" w:eastAsia="仿宋" w:cs="仿宋"/>
          <w:spacing w:val="4"/>
          <w:sz w:val="28"/>
          <w:szCs w:val="28"/>
          <w:vertAlign w:val="superscript"/>
        </w:rPr>
        <w:t>3</w:t>
      </w:r>
      <w:r>
        <w:rPr>
          <w:rFonts w:hint="eastAsia" w:ascii="仿宋" w:hAnsi="仿宋" w:eastAsia="仿宋" w:cs="仿宋"/>
          <w:spacing w:val="4"/>
          <w:sz w:val="28"/>
          <w:szCs w:val="28"/>
        </w:rPr>
        <w:t>/h。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 xml:space="preserve">2.1.2氮气纯度：≥97%(氧气纯度＜3%）。  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2.1.3氮气压力：1.0MPa（可调）。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2.1.4电压等级：1140V  50Hz。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2.1.5冷却方式：水冷。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2.1.6轨距：900mm。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2.1.7外形尺寸（单件最大尺寸）：≤3770×1400×1960㎜</w:t>
      </w:r>
      <w:r>
        <w:rPr>
          <w:rFonts w:hint="eastAsia" w:ascii="仿宋" w:hAnsi="仿宋" w:eastAsia="仿宋" w:cs="仿宋"/>
          <w:color w:val="FF0000"/>
          <w:spacing w:val="4"/>
          <w:sz w:val="28"/>
          <w:szCs w:val="28"/>
          <w:lang w:eastAsia="zh-CN"/>
        </w:rPr>
        <w:t>（可拆解）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;制氮装置车体数量：2车体、水处理装置车体数量：1车体。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2.2通用技术要求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2.2.1温控方式：</w:t>
      </w:r>
      <w:r>
        <w:rPr>
          <w:rFonts w:hint="eastAsia" w:ascii="仿宋" w:hAnsi="仿宋" w:eastAsia="仿宋" w:cs="仿宋"/>
          <w:color w:val="000000" w:themeColor="text1"/>
          <w:spacing w:val="4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螺旋板式换热器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无需外接电源，无电能消耗且故障率极低；不能使用空压机内置油空换热器代替。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2.2.2空气预处理系统，配置不低于4级精密过滤器，空气处理量≥35m</w:t>
      </w:r>
      <w:r>
        <w:rPr>
          <w:rFonts w:hint="eastAsia" w:ascii="仿宋" w:hAnsi="仿宋" w:eastAsia="仿宋" w:cs="仿宋"/>
          <w:spacing w:val="4"/>
          <w:sz w:val="28"/>
          <w:szCs w:val="28"/>
          <w:vertAlign w:val="superscript"/>
          <w:lang w:eastAsia="zh-CN"/>
        </w:rPr>
        <w:t>3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/min，过滤效果：粉尘粒径＜0.001</w:t>
      </w:r>
      <w:r>
        <w:rPr>
          <w:rFonts w:hint="eastAsia" w:ascii="仿宋" w:hAnsi="仿宋" w:eastAsia="仿宋" w:cs="仿宋"/>
          <w:spacing w:val="4"/>
          <w:sz w:val="28"/>
          <w:szCs w:val="28"/>
        </w:rPr>
        <w:t>μ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m，含油量＜0.001㎎/m</w:t>
      </w:r>
      <w:r>
        <w:rPr>
          <w:rFonts w:ascii="Calibri" w:hAnsi="Calibri" w:eastAsia="仿宋" w:cs="Calibri"/>
          <w:spacing w:val="4"/>
          <w:sz w:val="28"/>
          <w:szCs w:val="28"/>
          <w:lang w:eastAsia="zh-CN"/>
        </w:rPr>
        <w:t>³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eastAsia="zh-CN"/>
        </w:rPr>
        <w:t>并提供</w:t>
      </w:r>
      <w:r>
        <w:rPr>
          <w:rFonts w:hint="eastAsia" w:ascii="仿宋" w:hAnsi="仿宋" w:eastAsia="仿宋" w:cs="仿宋"/>
          <w:color w:val="000000" w:themeColor="text1"/>
          <w:spacing w:val="4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原装进口品牌滤芯的原产地证明、授权书、报关单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eastAsia="zh-CN"/>
        </w:rPr>
        <w:t>。</w:t>
      </w:r>
    </w:p>
    <w:p>
      <w:pPr>
        <w:autoSpaceDE w:val="0"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eastAsia="zh-CN"/>
        </w:rPr>
        <w:t>2.2.3膜管：</w:t>
      </w:r>
      <w:r>
        <w:rPr>
          <w:rFonts w:hint="eastAsia" w:ascii="仿宋" w:hAnsi="仿宋" w:eastAsia="仿宋" w:cs="仿宋"/>
          <w:color w:val="000000" w:themeColor="text1"/>
          <w:spacing w:val="4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选用原装进口膜管，不能为进口芯国产壳式组装产品;并提供原产地证明、授权书、报关单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eastAsia="zh-CN"/>
        </w:rPr>
        <w:t>。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eastAsia="zh-CN"/>
        </w:rPr>
        <w:t>2.2.4空压机参数与性能：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2.2.4.1产品名称：煤矿用螺杆式移动空气压缩机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2.2.4.2产品型号：MLG29.6/12.5-220G(A)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2.2.4.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产品参数： 排 气 量：29.6m</w:t>
      </w:r>
      <w:r>
        <w:rPr>
          <w:rFonts w:hint="eastAsia" w:ascii="仿宋" w:hAnsi="仿宋" w:eastAsia="仿宋" w:cs="仿宋"/>
          <w:sz w:val="28"/>
          <w:szCs w:val="28"/>
          <w:vertAlign w:val="superscript"/>
          <w:lang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/min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         排气压力：1.25MPa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         功    率：220kw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         冷却方式：水冷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2.2.4.5产品性能：开机后通过防爆电磁阀自行加卸载，通过防爆压力传感器进行压力控制和保护，通过防爆温度传感器进行温度的监控和保护，具有排气高温保护、电机过载保护、电源逆相、缺相保护、漏电保护、油细分离器堵塞、油过滤器堵塞等自动停机保护，并预留RS485接口。</w:t>
      </w:r>
    </w:p>
    <w:p>
      <w:pPr>
        <w:adjustRightInd w:val="0"/>
        <w:snapToGrid w:val="0"/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>2.2.5本机控制方式：整机（包含空压机在内）</w:t>
      </w:r>
      <w:r>
        <w:rPr>
          <w:rFonts w:hint="eastAsia" w:ascii="仿宋" w:hAnsi="仿宋" w:eastAsia="仿宋" w:cs="仿宋"/>
          <w:color w:val="000000" w:themeColor="text1"/>
          <w:spacing w:val="4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实现“一键启停”功能，无需分步操作各组成单元；</w:t>
      </w:r>
      <w:r>
        <w:rPr>
          <w:rFonts w:hint="eastAsia" w:ascii="仿宋" w:hAnsi="仿宋" w:eastAsia="仿宋" w:cs="仿宋"/>
          <w:color w:val="000000" w:themeColor="text1"/>
          <w:spacing w:val="4"/>
          <w:kern w:val="2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提供此项功能相关的国家级检测报告和实用新型专利证书；预留RS485接口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>2.2.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>油水突发性故障紧急处置功能：配装油水泄漏和大量积液辨识装置，对空压机突发性喷油和排污积水等突发故障进行处置，具有立即开启所有排污通道有效防护膜管的功能；并提供安标证。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>2.2.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>水循环复用工作原理是将</w:t>
      </w:r>
      <w:r>
        <w:rPr>
          <w:rFonts w:hint="eastAsia" w:ascii="仿宋" w:hAnsi="仿宋" w:eastAsia="仿宋" w:cs="仿宋"/>
          <w:color w:val="FF0000"/>
          <w:spacing w:val="4"/>
          <w:kern w:val="2"/>
          <w:sz w:val="28"/>
          <w:szCs w:val="28"/>
          <w:lang w:eastAsia="zh-CN"/>
        </w:rPr>
        <w:t>矿井供水管道中的水经减压阀减至0.3～0.5Mpa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highlight w:val="none"/>
          <w:lang w:eastAsia="zh-CN"/>
        </w:rPr>
        <w:t>流经矿用高熵合金阻垢装置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>，经过阻垢处理后的水被注入空气压缩机对其进行降温，然后通过专用管道回流至过渡水箱，在水位控制系统的控制下，通过防爆潜水泵（排水扬程不小于300米）将水箱内的水输送至矿井供水管道内。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 xml:space="preserve">2.2.8矿用高熵合金阻垢装置，基于亚稳多主元高熵合金电位差形成纯物理电催化反应，改变从装置内部表面流过水中钙镁等离子结晶状态，形成不致密、低强度，与管壁结合不牢的氧化钙，在水流的冲击下剥离，使管壁不结垢，达到防结垢和防腐蚀的目的。无需额外能源供应及其它辅助配置，无需添加任何化学药剂，属于纯物理的处理方式，不污染环境水质。              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 xml:space="preserve">2.2.8.2自动排水与冷却功能：通过液位传感器检测水位，当水位达到设置水位深度时启动防爆潜水泵，将水箱内的水输送至矿井主供水管网中，从而达到水不外流和水降温的功效。                                 </w:t>
      </w:r>
    </w:p>
    <w:p>
      <w:pPr>
        <w:pStyle w:val="2"/>
        <w:snapToGrid w:val="0"/>
        <w:spacing w:line="520" w:lineRule="exact"/>
        <w:ind w:firstLine="576" w:firstLineChars="200"/>
        <w:rPr>
          <w:rFonts w:ascii="仿宋" w:hAnsi="仿宋" w:eastAsia="仿宋" w:cs="仿宋"/>
          <w:color w:val="auto"/>
          <w:spacing w:val="4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4"/>
          <w:kern w:val="2"/>
          <w:sz w:val="28"/>
          <w:szCs w:val="28"/>
        </w:rPr>
        <w:t xml:space="preserve">2.2.8.3主要技术参数如下：    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>①水处理量：20m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vertAlign w:val="superscript"/>
          <w:lang w:eastAsia="zh-CN"/>
        </w:rPr>
        <w:t>3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 xml:space="preserve">／h                                     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 xml:space="preserve">②阻垢率90%以上，腐蚀速率降低2倍以上                                  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 xml:space="preserve">③电机功率64KW                              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 xml:space="preserve">④电压：1140V                         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 xml:space="preserve">⑤供水压力：0.3～0.5MPa                          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 xml:space="preserve">⑥排水压力：3Mpa                             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>⑦外形尺寸：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highlight w:val="none"/>
          <w:lang w:eastAsia="zh-CN"/>
        </w:rPr>
        <w:t>3780*1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highlight w:val="none"/>
          <w:lang w:val="en-US" w:eastAsia="zh-CN"/>
        </w:rPr>
        <w:t>300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highlight w:val="none"/>
          <w:lang w:eastAsia="zh-CN"/>
        </w:rPr>
        <w:t>*1920</w:t>
      </w:r>
      <w:r>
        <w:rPr>
          <w:rFonts w:hint="eastAsia" w:ascii="仿宋" w:hAnsi="仿宋" w:eastAsia="仿宋" w:cs="仿宋"/>
          <w:color w:val="FF0000"/>
          <w:spacing w:val="4"/>
          <w:kern w:val="2"/>
          <w:sz w:val="28"/>
          <w:szCs w:val="28"/>
          <w:highlight w:val="none"/>
          <w:lang w:eastAsia="zh-CN"/>
        </w:rPr>
        <w:t>（可定制）</w:t>
      </w:r>
    </w:p>
    <w:p>
      <w:pPr>
        <w:spacing w:line="360" w:lineRule="auto"/>
        <w:ind w:firstLine="576" w:firstLineChars="200"/>
        <w:jc w:val="both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2.2.9配备1套矿用区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>域自动喷粉灭火装置，参考型号</w:t>
      </w:r>
      <w:r>
        <w:rPr>
          <w:rFonts w:hint="eastAsia" w:ascii="仿宋" w:hAnsi="仿宋" w:eastAsia="仿宋" w:cs="仿宋"/>
          <w:spacing w:val="4"/>
          <w:kern w:val="2"/>
          <w:sz w:val="28"/>
          <w:szCs w:val="28"/>
          <w:highlight w:val="none"/>
          <w:lang w:eastAsia="zh-CN"/>
        </w:rPr>
        <w:t>ZFM16/10型矿用区域自动喷粉灭火装置，技术参数如下。</w:t>
      </w:r>
      <w:r>
        <w:rPr>
          <w:rFonts w:hint="eastAsia" w:ascii="仿宋" w:hAnsi="仿宋" w:eastAsia="仿宋" w:cs="仿宋"/>
          <w:color w:val="FF0000"/>
          <w:spacing w:val="4"/>
          <w:kern w:val="2"/>
          <w:sz w:val="28"/>
          <w:szCs w:val="28"/>
          <w:highlight w:val="none"/>
          <w:lang w:eastAsia="zh-CN"/>
        </w:rPr>
        <w:t>（选配）</w:t>
      </w:r>
    </w:p>
    <w:p>
      <w:pPr>
        <w:spacing w:line="360" w:lineRule="auto"/>
        <w:ind w:firstLine="576" w:firstLineChars="200"/>
        <w:jc w:val="center"/>
        <w:textAlignment w:val="baseline"/>
        <w:rPr>
          <w:rFonts w:ascii="仿宋" w:hAnsi="仿宋" w:eastAsia="仿宋" w:cs="仿宋"/>
          <w:spacing w:val="4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kern w:val="2"/>
          <w:sz w:val="28"/>
          <w:szCs w:val="28"/>
          <w:lang w:eastAsia="zh-CN"/>
        </w:rPr>
        <w:t>矿用区域自动喷粉灭火装置参数表</w:t>
      </w:r>
    </w:p>
    <w:tbl>
      <w:tblPr>
        <w:tblStyle w:val="8"/>
        <w:tblpPr w:leftFromText="180" w:rightFromText="180" w:vertAnchor="text" w:horzAnchor="page" w:tblpX="1505" w:tblpY="1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  <w:gridCol w:w="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型号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ZFM16/10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电源电压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AC127V/AC1140V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防爆形式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矿用隔爆兼本安型Exd[ib]IMb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有效灭火范围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16m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灭火剂重量（Kg）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10±0.5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喷射时间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小于5s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最佳安装高度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ind w:firstLine="576" w:firstLineChars="200"/>
              <w:jc w:val="center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小于5m</w:t>
            </w:r>
          </w:p>
        </w:tc>
      </w:tr>
    </w:tbl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2.2.10保护功能齐全：当氮气纯度≥97%（氧气纯度＜3%）时判定气体合格，进入注氮管路；反之，则进入排空管路。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2.2.11状态检测：空压机排气压力、排气温度、氮气纯度、氮气流量、制氮压力等参数实时在线监测，并集中显示于制氮装置控制箱PLC显示屏。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2.3执行标准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设备的设计和制造应符合适用的中国最新版国家标准（GB）或在国际范围内被接受的具有不低于下列标准的要求。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4"/>
          <w:sz w:val="28"/>
          <w:szCs w:val="28"/>
          <w:lang w:eastAsia="zh-CN"/>
        </w:rPr>
        <w:t>MT/T 774-2011矿用移动式膜分离制氮装置通用技术条件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4"/>
          <w:sz w:val="28"/>
          <w:szCs w:val="28"/>
          <w:lang w:eastAsia="zh-CN"/>
        </w:rPr>
        <w:t>GB 3836.1-2010《爆炸性环境用防爆电气设备第1部分：通用要求》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4"/>
          <w:sz w:val="28"/>
          <w:szCs w:val="28"/>
          <w:lang w:eastAsia="zh-CN"/>
        </w:rPr>
        <w:t>GB 3836.2-2010《爆炸性环境用防爆电气设备第2部分：隔爆型“d”》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4"/>
          <w:sz w:val="28"/>
          <w:szCs w:val="28"/>
          <w:lang w:eastAsia="zh-CN"/>
        </w:rPr>
        <w:t>GB 3836.4-2010《爆炸性环境用防爆电气设备第4部分：本质安全型“i”》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GB/T 191-2008包装储运图示标志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GB/T 13306-2002标牌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GB/T 13384-2008机电产品包装通用技术条件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MT/T 661-2011煤矿井下用电器设备通用技术条件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JB 4262-1992 防爆电器橡套电缆引入装置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AQ 1043-2007 矿用产品安全标志标识</w:t>
      </w:r>
    </w:p>
    <w:p>
      <w:pPr>
        <w:autoSpaceDE w:val="0"/>
        <w:adjustRightInd w:val="0"/>
        <w:snapToGrid w:val="0"/>
        <w:spacing w:line="360" w:lineRule="auto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2.4供方的产品符合国家相关行业标准，并保证符合最新版《煤矿安全规程》的要求。</w:t>
      </w:r>
    </w:p>
    <w:p>
      <w:pPr>
        <w:pStyle w:val="4"/>
        <w:numPr>
          <w:ilvl w:val="0"/>
          <w:numId w:val="2"/>
        </w:num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采购范围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960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auto"/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  <w:t>设备名称</w:t>
            </w:r>
          </w:p>
        </w:tc>
        <w:tc>
          <w:tcPr>
            <w:tcW w:w="4346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auto"/>
              <w:ind w:firstLine="1405" w:firstLineChars="500"/>
              <w:rPr>
                <w:rFonts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  <w:t>参考型号及要求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煤矿用移动式膜分离制氮装置</w:t>
            </w:r>
          </w:p>
        </w:tc>
        <w:tc>
          <w:tcPr>
            <w:tcW w:w="43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DM-600/10（L）</w:t>
            </w:r>
          </w:p>
        </w:tc>
      </w:tr>
    </w:tbl>
    <w:p>
      <w:pPr>
        <w:pStyle w:val="4"/>
        <w:adjustRightInd w:val="0"/>
        <w:snapToGrid w:val="0"/>
        <w:spacing w:line="360" w:lineRule="auto"/>
        <w:ind w:firstLine="578" w:firstLineChars="200"/>
        <w:rPr>
          <w:rFonts w:hint="eastAsia" w:ascii="仿宋" w:hAnsi="仿宋" w:eastAsia="仿宋" w:cs="仿宋"/>
          <w:b/>
          <w:bCs/>
          <w:spacing w:val="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4"/>
          <w:sz w:val="28"/>
          <w:szCs w:val="28"/>
          <w:lang w:val="zh-CN"/>
        </w:rPr>
        <w:t>四、单套装置装置</w:t>
      </w:r>
      <w:r>
        <w:rPr>
          <w:rFonts w:hint="eastAsia" w:ascii="仿宋" w:hAnsi="仿宋" w:eastAsia="仿宋" w:cs="仿宋"/>
          <w:b/>
          <w:bCs/>
          <w:spacing w:val="4"/>
          <w:sz w:val="28"/>
          <w:szCs w:val="28"/>
        </w:rPr>
        <w:t>配置明细表</w:t>
      </w:r>
    </w:p>
    <w:tbl>
      <w:tblPr>
        <w:tblStyle w:val="8"/>
        <w:tblW w:w="8831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85"/>
        <w:gridCol w:w="2347"/>
        <w:gridCol w:w="2976"/>
        <w:gridCol w:w="85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煤矿用移动式膜分离制氮装置本体配置表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系统名称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设备名称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气源系统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空压机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MLG29.6/12.5-220G（A）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净化系统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气水分离器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WS800F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精密过滤器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0430FDIX1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精密过滤器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0430FDIXA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精密过滤器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0430FDIXAA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6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制氮系统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膜管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膜连接管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DM-600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加热系统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螺旋板换热器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15m</w:t>
            </w:r>
            <w:r>
              <w:rPr>
                <w:rFonts w:hint="eastAsia" w:ascii="仿宋" w:hAnsi="仿宋" w:eastAsia="仿宋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控制系统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制氮装置用隔爆兼本质安全型电控制箱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KXJ3-2/1140（660）ZD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气路控制箱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DM-900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11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备压阀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HBF-S50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12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仪表系统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矿用本安型旋进旋涡流量计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GLW50/7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13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矿用隔爆型压力变送器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GPD60（D）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14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矿用本安型温度变送器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GWP200-C(A)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辅助系统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底盘车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MPC5-6/9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阀门、管材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DM-600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17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波纹管（法兰）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DN80-1500mm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18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外壳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保护系统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矿用本安型水位传感器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GUY200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件</w:t>
            </w:r>
          </w:p>
        </w:tc>
      </w:tr>
    </w:tbl>
    <w:p>
      <w:pPr>
        <w:pStyle w:val="4"/>
        <w:adjustRightInd w:val="0"/>
        <w:snapToGrid w:val="0"/>
        <w:spacing w:line="360" w:lineRule="auto"/>
        <w:ind w:firstLine="578" w:firstLineChars="200"/>
        <w:rPr>
          <w:rFonts w:ascii="仿宋" w:hAnsi="仿宋" w:eastAsia="仿宋" w:cs="仿宋"/>
          <w:b/>
          <w:bCs/>
          <w:spacing w:val="4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pacing w:val="4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pacing w:val="4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pacing w:val="4"/>
          <w:sz w:val="28"/>
          <w:szCs w:val="28"/>
        </w:rPr>
        <w:t>）单套装置</w:t>
      </w:r>
      <w:r>
        <w:rPr>
          <w:rFonts w:hint="eastAsia" w:ascii="仿宋" w:hAnsi="仿宋" w:eastAsia="仿宋" w:cs="仿宋"/>
          <w:b/>
          <w:bCs/>
          <w:spacing w:val="4"/>
          <w:sz w:val="28"/>
          <w:szCs w:val="28"/>
          <w:lang w:val="zh-CN"/>
        </w:rPr>
        <w:t>水处理功能配置表</w:t>
      </w:r>
    </w:p>
    <w:tbl>
      <w:tblPr>
        <w:tblStyle w:val="8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822"/>
        <w:gridCol w:w="3615"/>
        <w:gridCol w:w="1495"/>
        <w:gridCol w:w="798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00" w:type="pct"/>
            <w:gridSpan w:val="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煤矿用移动式膜分离制氮装置  供水排气功能配置表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9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99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系统名称</w:t>
            </w:r>
          </w:p>
        </w:tc>
        <w:tc>
          <w:tcPr>
            <w:tcW w:w="1971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设备名称</w:t>
            </w:r>
          </w:p>
        </w:tc>
        <w:tc>
          <w:tcPr>
            <w:tcW w:w="815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型号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</w:t>
            </w:r>
          </w:p>
        </w:tc>
        <w:tc>
          <w:tcPr>
            <w:tcW w:w="477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994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水循环复用装置</w:t>
            </w:r>
          </w:p>
        </w:tc>
        <w:tc>
          <w:tcPr>
            <w:tcW w:w="1971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矿用移动式水循环阻垢装置</w:t>
            </w:r>
          </w:p>
        </w:tc>
        <w:tc>
          <w:tcPr>
            <w:tcW w:w="815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SXZ-20m</w:t>
            </w:r>
            <w:r>
              <w:rPr>
                <w:rFonts w:hint="eastAsia" w:ascii="仿宋" w:hAnsi="仿宋" w:eastAsia="仿宋" w:cs="宋体"/>
                <w:sz w:val="24"/>
                <w:szCs w:val="24"/>
                <w:vertAlign w:val="super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/h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7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套</w:t>
            </w:r>
          </w:p>
        </w:tc>
      </w:tr>
    </w:tbl>
    <w:p>
      <w:pPr>
        <w:pStyle w:val="4"/>
        <w:adjustRightInd w:val="0"/>
        <w:snapToGrid w:val="0"/>
        <w:spacing w:line="360" w:lineRule="auto"/>
        <w:ind w:firstLine="578" w:firstLineChars="200"/>
        <w:rPr>
          <w:rFonts w:ascii="仿宋" w:hAnsi="仿宋" w:eastAsia="仿宋" w:cs="仿宋"/>
          <w:b/>
          <w:bCs/>
          <w:spacing w:val="4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pacing w:val="4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pacing w:val="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4"/>
          <w:sz w:val="28"/>
          <w:szCs w:val="28"/>
        </w:rPr>
        <w:t>）单套装置</w:t>
      </w:r>
      <w:r>
        <w:rPr>
          <w:rFonts w:hint="eastAsia" w:ascii="仿宋" w:hAnsi="仿宋" w:eastAsia="仿宋" w:cs="仿宋"/>
          <w:b/>
          <w:bCs/>
          <w:spacing w:val="4"/>
          <w:sz w:val="28"/>
          <w:szCs w:val="28"/>
          <w:lang w:val="zh-CN"/>
        </w:rPr>
        <w:t>区域灭火功能配置表</w:t>
      </w:r>
    </w:p>
    <w:tbl>
      <w:tblPr>
        <w:tblStyle w:val="8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02"/>
        <w:gridCol w:w="3468"/>
        <w:gridCol w:w="1390"/>
        <w:gridCol w:w="873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6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煤矿用移动式膜分离制氮装置  区域灭火功能配置表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9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92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系统名称</w:t>
            </w:r>
          </w:p>
        </w:tc>
        <w:tc>
          <w:tcPr>
            <w:tcW w:w="1891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设备名称</w:t>
            </w:r>
          </w:p>
        </w:tc>
        <w:tc>
          <w:tcPr>
            <w:tcW w:w="75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型号</w:t>
            </w:r>
          </w:p>
        </w:tc>
        <w:tc>
          <w:tcPr>
            <w:tcW w:w="476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</w:t>
            </w:r>
          </w:p>
        </w:tc>
        <w:tc>
          <w:tcPr>
            <w:tcW w:w="556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9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92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区域灭火系统</w:t>
            </w:r>
          </w:p>
        </w:tc>
        <w:tc>
          <w:tcPr>
            <w:tcW w:w="1891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矿用区域自动喷粉灭火装置</w:t>
            </w:r>
          </w:p>
        </w:tc>
        <w:tc>
          <w:tcPr>
            <w:tcW w:w="75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ZFM16/10</w:t>
            </w:r>
          </w:p>
        </w:tc>
        <w:tc>
          <w:tcPr>
            <w:tcW w:w="476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556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套</w:t>
            </w:r>
          </w:p>
        </w:tc>
      </w:tr>
    </w:tbl>
    <w:p>
      <w:pPr>
        <w:pStyle w:val="4"/>
        <w:adjustRightInd w:val="0"/>
        <w:snapToGrid w:val="0"/>
        <w:spacing w:line="520" w:lineRule="exact"/>
        <w:ind w:firstLine="578" w:firstLineChars="200"/>
        <w:rPr>
          <w:rFonts w:ascii="仿宋" w:hAnsi="仿宋" w:eastAsia="仿宋" w:cs="仿宋"/>
          <w:b/>
          <w:bCs/>
          <w:spacing w:val="4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pacing w:val="4"/>
          <w:sz w:val="28"/>
          <w:szCs w:val="28"/>
          <w:lang w:val="zh-CN"/>
        </w:rPr>
        <w:t>五、检验及验收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设备必须有出厂合格证和出厂检验报告，设备的制造试验技术条件和标准必须符合最新国家标准。</w:t>
      </w:r>
    </w:p>
    <w:p>
      <w:pPr>
        <w:pStyle w:val="4"/>
        <w:adjustRightInd w:val="0"/>
        <w:snapToGrid w:val="0"/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、油漆、包装、运输</w:t>
      </w:r>
    </w:p>
    <w:p>
      <w:pPr>
        <w:pStyle w:val="5"/>
        <w:widowControl w:val="0"/>
        <w:adjustRightInd w:val="0"/>
        <w:snapToGrid w:val="0"/>
        <w:spacing w:after="0" w:line="520" w:lineRule="exact"/>
        <w:ind w:left="0" w:leftChars="0" w:right="-512" w:rightChars="-244" w:firstLine="576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1.供方负责设备的装卸车及运输途中设备的防护工作。</w:t>
      </w:r>
    </w:p>
    <w:p>
      <w:pPr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2.设备出厂10日前，由供方通知需方组织人员进行验收。</w:t>
      </w:r>
    </w:p>
    <w:p>
      <w:pPr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3.供方提供免费技术服务及技术培训，负责委派有能力和称职的组装和调试人员到现场协助或指导安装，并提供必要的常用工具和材料。</w:t>
      </w:r>
    </w:p>
    <w:p>
      <w:pPr>
        <w:pStyle w:val="4"/>
        <w:adjustRightInd w:val="0"/>
        <w:snapToGrid w:val="0"/>
        <w:spacing w:line="520" w:lineRule="exact"/>
        <w:ind w:firstLine="578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4"/>
          <w:sz w:val="28"/>
          <w:szCs w:val="28"/>
        </w:rPr>
        <w:t>七、</w:t>
      </w:r>
      <w:r>
        <w:rPr>
          <w:rFonts w:hint="eastAsia" w:ascii="仿宋" w:hAnsi="仿宋" w:eastAsia="仿宋" w:cs="仿宋"/>
          <w:b/>
          <w:bCs/>
          <w:spacing w:val="4"/>
          <w:sz w:val="28"/>
          <w:szCs w:val="28"/>
          <w:lang w:val="zh-CN"/>
        </w:rPr>
        <w:t>交付资料及质量保证</w:t>
      </w:r>
    </w:p>
    <w:p>
      <w:pPr>
        <w:pStyle w:val="5"/>
        <w:widowControl w:val="0"/>
        <w:adjustRightInd w:val="0"/>
        <w:snapToGrid w:val="0"/>
        <w:spacing w:after="0" w:line="520" w:lineRule="exact"/>
        <w:ind w:left="0" w:leftChars="0" w:right="-512" w:rightChars="-244" w:firstLine="576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1.供方15日内提供各设备与配套件外形与安装图及其它需方要求提供的图纸、资料等，出具电气原理图并提供设备外形尺寸图，便于用户维护及使用。</w:t>
      </w:r>
    </w:p>
    <w:p>
      <w:pPr>
        <w:pStyle w:val="5"/>
        <w:widowControl w:val="0"/>
        <w:adjustRightInd w:val="0"/>
        <w:snapToGrid w:val="0"/>
        <w:spacing w:after="0" w:line="520" w:lineRule="exact"/>
        <w:ind w:left="0" w:leftChars="0" w:right="-512" w:rightChars="-244" w:firstLine="576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2.交货验收时提供产品合格证、相关防爆合格证、煤安标志证、出厂检验报告、试验报告等。</w:t>
      </w:r>
    </w:p>
    <w:p>
      <w:pPr>
        <w:pStyle w:val="5"/>
        <w:widowControl w:val="0"/>
        <w:adjustRightInd w:val="0"/>
        <w:snapToGrid w:val="0"/>
        <w:spacing w:after="0" w:line="520" w:lineRule="exact"/>
        <w:ind w:left="0" w:leftChars="0" w:right="-512" w:rightChars="-244" w:firstLine="576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3.每套设备免费提供设备使用说明书等资料。供方提供的技术资料中应包括各设备和部件的检验、试验、安装、运行和维护等方面的技术数据、说明书、有关图纸以及有关的规程、规范、标准及其它技术资料，交付类型：书面版及电子版（U盘存储）。</w:t>
      </w:r>
    </w:p>
    <w:p>
      <w:pPr>
        <w:pStyle w:val="5"/>
        <w:widowControl w:val="0"/>
        <w:adjustRightInd w:val="0"/>
        <w:snapToGrid w:val="0"/>
        <w:spacing w:after="0" w:line="520" w:lineRule="exact"/>
        <w:ind w:left="0" w:leftChars="0" w:right="-512" w:rightChars="-244" w:firstLine="576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4.交付分数：图纸和文件书面为4套，电子版（dwg和word等可编辑文档）为1套（中文）。</w:t>
      </w:r>
    </w:p>
    <w:p>
      <w:pPr>
        <w:pStyle w:val="5"/>
        <w:widowControl w:val="0"/>
        <w:adjustRightInd w:val="0"/>
        <w:snapToGrid w:val="0"/>
        <w:spacing w:after="0" w:line="520" w:lineRule="exact"/>
        <w:ind w:left="0" w:leftChars="0" w:right="-512" w:rightChars="-244" w:firstLine="576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5.在合同质保期内，如果系统发生由于设备本身质量问题而引起的故障和设备的损坏，供方将免费予以解决问题或免费更换损坏的部件。质保期后出现故障所需要更换的部件，供方应仅收取成本费用。</w:t>
      </w:r>
    </w:p>
    <w:p>
      <w:pPr>
        <w:pStyle w:val="5"/>
        <w:widowControl w:val="0"/>
        <w:adjustRightInd w:val="0"/>
        <w:snapToGrid w:val="0"/>
        <w:spacing w:after="0" w:line="520" w:lineRule="exact"/>
        <w:ind w:left="0" w:leftChars="0" w:right="-512" w:rightChars="-244" w:firstLine="576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6.质保期为到货后18个月或者设备最终调试验收之后12个月，二者以先到为准。</w:t>
      </w:r>
    </w:p>
    <w:p>
      <w:pPr>
        <w:pStyle w:val="2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7.对于设备故障，供方应在1小时内作出反应，重大问题供方应在当天安排技术人员赴现场解决。</w:t>
      </w:r>
    </w:p>
    <w:p>
      <w:pPr>
        <w:pStyle w:val="2"/>
        <w:rPr>
          <w:rFonts w:ascii="仿宋" w:hAnsi="仿宋" w:eastAsia="仿宋" w:cs="仿宋"/>
          <w:spacing w:val="4"/>
          <w:sz w:val="28"/>
          <w:szCs w:val="28"/>
        </w:rPr>
      </w:pP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11C61"/>
    <w:multiLevelType w:val="singleLevel"/>
    <w:tmpl w:val="AED11C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07CD57"/>
    <w:multiLevelType w:val="singleLevel"/>
    <w:tmpl w:val="E707C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OGJkM2ZlOGFiYzRkYzM5ZGJjMjM5MTNiNzc3MzcifQ=="/>
  </w:docVars>
  <w:rsids>
    <w:rsidRoot w:val="00857691"/>
    <w:rsid w:val="001B776C"/>
    <w:rsid w:val="005A080E"/>
    <w:rsid w:val="007208E7"/>
    <w:rsid w:val="00857691"/>
    <w:rsid w:val="00A71440"/>
    <w:rsid w:val="00C770C1"/>
    <w:rsid w:val="00DB695C"/>
    <w:rsid w:val="00EE6E2F"/>
    <w:rsid w:val="00EF0713"/>
    <w:rsid w:val="00FD195C"/>
    <w:rsid w:val="0A00672A"/>
    <w:rsid w:val="2FDE6A54"/>
    <w:rsid w:val="602F0FFF"/>
    <w:rsid w:val="716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eastAsia="宋体" w:asciiTheme="minorHAnsi" w:hAnsiTheme="minorHAnsi" w:cstheme="minorBidi"/>
      <w:kern w:val="0"/>
      <w:sz w:val="21"/>
      <w:szCs w:val="22"/>
      <w:lang w:val="en-US" w:eastAsia="en-US" w:bidi="ar-SA"/>
      <w14:ligatures w14:val="none"/>
    </w:rPr>
  </w:style>
  <w:style w:type="paragraph" w:styleId="3">
    <w:name w:val="heading 2"/>
    <w:basedOn w:val="1"/>
    <w:next w:val="1"/>
    <w:link w:val="13"/>
    <w:unhideWhenUsed/>
    <w:qFormat/>
    <w:uiPriority w:val="1"/>
    <w:pPr>
      <w:keepNext/>
      <w:keepLines/>
      <w:spacing w:line="500" w:lineRule="exact"/>
      <w:ind w:firstLine="482" w:firstLineChars="200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500" w:lineRule="exact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  <w14:ligatures w14:val="none"/>
    </w:rPr>
  </w:style>
  <w:style w:type="paragraph" w:styleId="4">
    <w:name w:val="Normal Indent"/>
    <w:basedOn w:val="1"/>
    <w:qFormat/>
    <w:uiPriority w:val="0"/>
    <w:pPr>
      <w:ind w:firstLine="420"/>
      <w:jc w:val="both"/>
    </w:pPr>
    <w:rPr>
      <w:rFonts w:ascii="Times New Roman" w:hAnsi="Times New Roman" w:cs="Times New Roman"/>
      <w:kern w:val="2"/>
      <w:szCs w:val="20"/>
      <w:lang w:eastAsia="zh-CN"/>
    </w:rPr>
  </w:style>
  <w:style w:type="paragraph" w:styleId="5">
    <w:name w:val="Body Text Indent"/>
    <w:basedOn w:val="1"/>
    <w:link w:val="12"/>
    <w:qFormat/>
    <w:uiPriority w:val="0"/>
    <w:pPr>
      <w:widowControl/>
      <w:spacing w:after="120" w:line="500" w:lineRule="exact"/>
      <w:ind w:left="420" w:leftChars="200"/>
    </w:pPr>
    <w:rPr>
      <w:rFonts w:ascii="Times New Roman" w:hAnsi="Times New Roman" w:cs="Times New Roman"/>
      <w:kern w:val="2"/>
      <w:szCs w:val="24"/>
      <w:lang w:eastAsia="zh-CN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5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13">
    <w:name w:val="标题 2 字符"/>
    <w:basedOn w:val="9"/>
    <w:link w:val="3"/>
    <w:qFormat/>
    <w:uiPriority w:val="1"/>
    <w:rPr>
      <w:rFonts w:eastAsia="宋体" w:asciiTheme="majorHAnsi" w:hAnsiTheme="majorHAnsi" w:cstheme="majorBidi"/>
      <w:b/>
      <w:bCs/>
      <w:kern w:val="0"/>
      <w:sz w:val="24"/>
      <w:szCs w:val="32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BA05-2A88-452C-B4BE-662EA6915A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2734</Words>
  <Characters>3339</Characters>
  <Lines>31</Lines>
  <Paragraphs>8</Paragraphs>
  <TotalTime>63</TotalTime>
  <ScaleCrop>false</ScaleCrop>
  <LinksUpToDate>false</LinksUpToDate>
  <CharactersWithSpaces>3670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2023-07-25T04:18:00Z</dcterms:created>
  <dc:creator>攀 攀</dc:creator>
  <cp:lastModifiedBy>时光</cp:lastModifiedBy>
  <dcterms:modified xsi:type="dcterms:W3CDTF">2023-08-14T03:13:40Z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4F4375DC15BA4386A56FC7E6D5E80975_13</vt:lpwstr>
  </property>
</Properties>
</file>