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ind w:firstLine="480"/>
      </w:pPr>
    </w:p>
    <w:p>
      <w:pPr>
        <w:spacing w:line="360" w:lineRule="auto"/>
        <w:jc w:val="center"/>
        <w:rPr>
          <w:rFonts w:ascii="仿宋" w:hAnsi="仿宋" w:eastAsia="仿宋" w:cs="仿宋"/>
          <w:b/>
          <w:bCs/>
          <w:sz w:val="48"/>
          <w:szCs w:val="44"/>
        </w:rPr>
      </w:pPr>
    </w:p>
    <w:p>
      <w:pPr>
        <w:spacing w:line="360" w:lineRule="auto"/>
        <w:jc w:val="center"/>
        <w:rPr>
          <w:rFonts w:ascii="仿宋" w:hAnsi="仿宋" w:eastAsia="仿宋" w:cs="仿宋"/>
          <w:b/>
          <w:bCs/>
          <w:sz w:val="48"/>
          <w:szCs w:val="44"/>
        </w:rPr>
      </w:pPr>
    </w:p>
    <w:p>
      <w:pPr>
        <w:spacing w:line="360" w:lineRule="auto"/>
        <w:jc w:val="center"/>
        <w:rPr>
          <w:rFonts w:ascii="仿宋" w:hAnsi="仿宋" w:eastAsia="仿宋" w:cs="仿宋"/>
          <w:b/>
          <w:bCs/>
          <w:sz w:val="48"/>
          <w:szCs w:val="44"/>
        </w:rPr>
      </w:pPr>
    </w:p>
    <w:p>
      <w:pPr>
        <w:spacing w:line="360" w:lineRule="auto"/>
        <w:jc w:val="center"/>
        <w:rPr>
          <w:rFonts w:ascii="仿宋" w:hAnsi="仿宋" w:eastAsia="仿宋" w:cs="仿宋"/>
          <w:b/>
          <w:bCs/>
          <w:sz w:val="48"/>
          <w:szCs w:val="44"/>
        </w:rPr>
      </w:pPr>
      <w:r>
        <w:rPr>
          <w:rFonts w:hint="eastAsia" w:ascii="仿宋" w:hAnsi="仿宋" w:eastAsia="仿宋" w:cs="仿宋"/>
          <w:b/>
          <w:bCs/>
          <w:sz w:val="48"/>
          <w:szCs w:val="44"/>
        </w:rPr>
        <w:t>欢城煤矿调度中心技术要求</w:t>
      </w: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pStyle w:val="2"/>
        <w:ind w:firstLine="480"/>
      </w:pPr>
    </w:p>
    <w:p>
      <w:pPr>
        <w:pStyle w:val="2"/>
        <w:ind w:firstLine="480"/>
      </w:pPr>
    </w:p>
    <w:p>
      <w:pPr>
        <w:pStyle w:val="2"/>
        <w:ind w:firstLine="480"/>
      </w:pPr>
    </w:p>
    <w:p>
      <w:pPr>
        <w:pStyle w:val="2"/>
        <w:ind w:firstLine="480"/>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p>
    <w:p>
      <w:pPr>
        <w:spacing w:line="360" w:lineRule="auto"/>
        <w:jc w:val="center"/>
        <w:rPr>
          <w:rFonts w:ascii="仿宋" w:hAnsi="仿宋" w:eastAsia="仿宋" w:cs="仿宋"/>
          <w:b/>
          <w:bCs/>
          <w:sz w:val="40"/>
          <w:szCs w:val="36"/>
        </w:rPr>
      </w:pPr>
      <w:r>
        <w:rPr>
          <w:rFonts w:hint="eastAsia" w:ascii="仿宋" w:hAnsi="仿宋" w:eastAsia="仿宋" w:cs="仿宋"/>
          <w:b/>
          <w:bCs/>
          <w:sz w:val="40"/>
          <w:szCs w:val="36"/>
        </w:rPr>
        <w:t>2023年5月</w:t>
      </w:r>
    </w:p>
    <w:p>
      <w:r>
        <w:br w:type="page"/>
      </w:r>
    </w:p>
    <w:p>
      <w:pPr>
        <w:pStyle w:val="3"/>
        <w:pageBreakBefore/>
        <w:numPr>
          <w:ilvl w:val="0"/>
          <w:numId w:val="1"/>
        </w:numPr>
        <w:spacing w:before="0" w:after="0" w:line="360" w:lineRule="auto"/>
        <w:jc w:val="center"/>
        <w:rPr>
          <w:rFonts w:ascii="宋体" w:hAnsi="宋体"/>
          <w:sz w:val="32"/>
          <w:szCs w:val="32"/>
        </w:rPr>
      </w:pPr>
      <w:r>
        <w:rPr>
          <w:rFonts w:hint="eastAsia" w:ascii="宋体" w:hAnsi="宋体"/>
          <w:sz w:val="32"/>
          <w:szCs w:val="32"/>
        </w:rPr>
        <w:t>系统方案设计要求</w:t>
      </w:r>
    </w:p>
    <w:p>
      <w:pPr>
        <w:pStyle w:val="4"/>
        <w:numPr>
          <w:ilvl w:val="1"/>
          <w:numId w:val="2"/>
        </w:numPr>
        <w:spacing w:before="0" w:after="0" w:line="360" w:lineRule="auto"/>
        <w:rPr>
          <w:rFonts w:ascii="宋体" w:hAnsi="宋体" w:eastAsia="宋体"/>
          <w:sz w:val="28"/>
          <w:szCs w:val="28"/>
        </w:rPr>
      </w:pPr>
      <w:bookmarkStart w:id="0" w:name="_Toc17711"/>
      <w:r>
        <w:rPr>
          <w:rFonts w:hint="eastAsia" w:ascii="宋体" w:hAnsi="宋体" w:eastAsia="宋体"/>
          <w:sz w:val="28"/>
          <w:szCs w:val="28"/>
        </w:rPr>
        <w:t>系统需求</w:t>
      </w:r>
      <w:bookmarkEnd w:id="0"/>
    </w:p>
    <w:p>
      <w:pPr>
        <w:spacing w:line="360" w:lineRule="auto"/>
        <w:ind w:firstLine="480" w:firstLineChars="200"/>
        <w:rPr>
          <w:rFonts w:ascii="仿宋" w:hAnsi="仿宋" w:eastAsia="仿宋" w:cs="仿宋"/>
          <w:sz w:val="24"/>
        </w:rPr>
      </w:pPr>
      <w:bookmarkStart w:id="1" w:name="_Toc11182"/>
      <w:r>
        <w:rPr>
          <w:rFonts w:hint="eastAsia" w:ascii="仿宋" w:hAnsi="仿宋" w:eastAsia="仿宋" w:cs="仿宋"/>
          <w:sz w:val="24"/>
        </w:rPr>
        <w:t>欢城煤矿对现有调度中心大屏，包括地面视频监控、井下视频监控、视频存储、视频解码上墙、大屏拼接显示和网络传输。具体内容要求详见清单。</w:t>
      </w:r>
    </w:p>
    <w:p>
      <w:pPr>
        <w:spacing w:line="360" w:lineRule="auto"/>
        <w:ind w:firstLine="480" w:firstLineChars="200"/>
        <w:rPr>
          <w:rFonts w:ascii="仿宋" w:hAnsi="仿宋" w:eastAsia="仿宋" w:cs="仿宋"/>
          <w:sz w:val="24"/>
        </w:rPr>
      </w:pPr>
      <w:r>
        <w:rPr>
          <w:rFonts w:hint="eastAsia" w:ascii="仿宋" w:hAnsi="仿宋" w:eastAsia="仿宋" w:cs="仿宋"/>
          <w:sz w:val="24"/>
        </w:rPr>
        <w:t>本次建设采用目前LED高清晰度数字显示技术、多屏图像处理技术、信号切换技术、网络技术等的应用综合为一体，形成一个拥有高亮度、高清晰度、高智能化控制、操作方法先进的LED大屏幕显示系统。</w:t>
      </w:r>
    </w:p>
    <w:p>
      <w:pPr>
        <w:spacing w:line="360" w:lineRule="auto"/>
        <w:ind w:firstLine="480" w:firstLineChars="200"/>
        <w:rPr>
          <w:rFonts w:ascii="仿宋" w:hAnsi="仿宋" w:eastAsia="仿宋" w:cs="仿宋"/>
          <w:sz w:val="24"/>
        </w:rPr>
      </w:pPr>
      <w:r>
        <w:rPr>
          <w:rFonts w:hint="eastAsia" w:ascii="仿宋" w:hAnsi="仿宋" w:eastAsia="仿宋" w:cs="仿宋"/>
          <w:sz w:val="24"/>
        </w:rPr>
        <w:t>通过这套LED大屏幕显示系统可以实现对的整个系统所需要显示的各种情况的动态监管，可随时对各种采集到的监控信号、网络信号及各种计算机图形信息进行多画面显示和分析，能够直观、完整、准确、清晰、灵活的显示任意有关来自各方面信息，便于及时做出判断和处理，实现实时监控和集中指挥、统一管控的目的。</w:t>
      </w:r>
    </w:p>
    <w:p>
      <w:pPr>
        <w:spacing w:line="360" w:lineRule="auto"/>
        <w:ind w:firstLine="480" w:firstLineChars="200"/>
      </w:pPr>
      <w:r>
        <w:rPr>
          <w:rFonts w:hint="eastAsia" w:ascii="仿宋" w:hAnsi="仿宋" w:eastAsia="仿宋" w:cs="仿宋"/>
          <w:sz w:val="24"/>
        </w:rPr>
        <w:t>拟采用小间距高清LED显示技术，采用小间距表贴封装LED做为显示面板，支持整屏无缝拼接，组成一个高分辨率的数字显示系统。</w:t>
      </w:r>
    </w:p>
    <w:p>
      <w:pPr>
        <w:pStyle w:val="4"/>
        <w:numPr>
          <w:ilvl w:val="1"/>
          <w:numId w:val="2"/>
        </w:numPr>
        <w:spacing w:before="0" w:after="0" w:line="360" w:lineRule="auto"/>
        <w:rPr>
          <w:rFonts w:ascii="宋体" w:hAnsi="宋体" w:eastAsia="宋体"/>
          <w:sz w:val="28"/>
          <w:szCs w:val="28"/>
        </w:rPr>
      </w:pPr>
      <w:r>
        <w:rPr>
          <w:rFonts w:hint="eastAsia" w:ascii="宋体" w:hAnsi="宋体" w:eastAsia="宋体"/>
          <w:sz w:val="28"/>
          <w:szCs w:val="28"/>
        </w:rPr>
        <w:t>整体设计原则</w:t>
      </w:r>
      <w:bookmarkEnd w:id="1"/>
      <w:r>
        <w:rPr>
          <w:rFonts w:hint="eastAsia" w:ascii="宋体" w:hAnsi="宋体" w:eastAsia="宋体"/>
          <w:sz w:val="28"/>
          <w:szCs w:val="28"/>
        </w:rPr>
        <w:t>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1、系统采用的硬件设备应是目前世界上较为先进的设备，能够满足业务和应用的发展需要。软件设计上应着眼于超前打算，综合利用，有较长的使用周期。</w:t>
      </w:r>
    </w:p>
    <w:p>
      <w:pPr>
        <w:spacing w:line="360" w:lineRule="auto"/>
        <w:ind w:firstLine="480" w:firstLineChars="200"/>
        <w:rPr>
          <w:rFonts w:ascii="仿宋" w:hAnsi="仿宋" w:eastAsia="仿宋" w:cs="仿宋"/>
          <w:sz w:val="24"/>
        </w:rPr>
      </w:pPr>
      <w:r>
        <w:rPr>
          <w:rFonts w:hint="eastAsia" w:ascii="仿宋" w:hAnsi="仿宋" w:eastAsia="仿宋" w:cs="仿宋"/>
          <w:sz w:val="24"/>
        </w:rPr>
        <w:t>2、将计算机处理、全彩色LED显示屏通信、视像显示以及所有信息处理集成在统一的平台上同步、集中控制，各功能子系统可实现同步联动。并可通过强大的通用接口，将原有显示屏系统挂接进来，实现同步控制，提供了一个高度集成、同步控制的户内显示应用系统。</w:t>
      </w:r>
    </w:p>
    <w:p>
      <w:pPr>
        <w:spacing w:line="360" w:lineRule="auto"/>
        <w:ind w:firstLine="480" w:firstLineChars="200"/>
        <w:rPr>
          <w:rFonts w:ascii="仿宋" w:hAnsi="仿宋" w:eastAsia="仿宋" w:cs="仿宋"/>
          <w:sz w:val="24"/>
        </w:rPr>
      </w:pPr>
      <w:r>
        <w:rPr>
          <w:rFonts w:hint="eastAsia" w:ascii="仿宋" w:hAnsi="仿宋" w:eastAsia="仿宋" w:cs="仿宋"/>
          <w:sz w:val="24"/>
        </w:rPr>
        <w:t>3、充分考虑系统对信息安全的需求，保证各类信息安全可靠运行。设计时各部分关键线路、设备、数据均采用相应的技术措施。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4、系统应具有可扩展性并适度超前。采用的硬件设备和软件系统应具有足够的扩展接口、支持相应的协议和升级能力。</w:t>
      </w:r>
    </w:p>
    <w:p>
      <w:pPr>
        <w:pStyle w:val="2"/>
        <w:rPr>
          <w:rFonts w:hint="default" w:eastAsia="仿宋"/>
          <w:lang w:val="en-US" w:eastAsia="zh-CN"/>
        </w:rPr>
      </w:pPr>
      <w:r>
        <w:rPr>
          <w:rFonts w:hint="eastAsia" w:ascii="仿宋" w:hAnsi="仿宋" w:eastAsia="仿宋" w:cs="仿宋"/>
          <w:color w:val="FF0000"/>
          <w:sz w:val="24"/>
          <w:lang w:val="en-US" w:eastAsia="zh-CN"/>
        </w:rPr>
        <w:t>5、原办公楼3楼调度指挥中心各系统的迁移工作由中标方负责实施，矿方给与配合，并确保各系统运行正常</w:t>
      </w:r>
      <w:bookmarkStart w:id="2" w:name="_GoBack"/>
      <w:bookmarkEnd w:id="2"/>
      <w:r>
        <w:rPr>
          <w:rFonts w:hint="eastAsia" w:ascii="仿宋" w:hAnsi="仿宋" w:eastAsia="仿宋" w:cs="仿宋"/>
          <w:color w:val="FF0000"/>
          <w:sz w:val="24"/>
          <w:lang w:val="en-US" w:eastAsia="zh-CN"/>
        </w:rPr>
        <w:t>。</w:t>
      </w:r>
    </w:p>
    <w:p>
      <w:pPr>
        <w:pStyle w:val="4"/>
        <w:numPr>
          <w:ilvl w:val="1"/>
          <w:numId w:val="2"/>
        </w:numPr>
        <w:spacing w:before="0" w:after="0" w:line="360" w:lineRule="auto"/>
        <w:rPr>
          <w:rFonts w:ascii="宋体" w:hAnsi="宋体" w:eastAsia="宋体"/>
          <w:sz w:val="28"/>
          <w:szCs w:val="28"/>
        </w:rPr>
      </w:pPr>
      <w:r>
        <w:rPr>
          <w:rFonts w:hint="eastAsia" w:ascii="宋体" w:hAnsi="宋体" w:eastAsia="宋体"/>
          <w:sz w:val="28"/>
          <w:szCs w:val="28"/>
        </w:rPr>
        <w:t>产品供应商要求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1、显示屏原厂生产厂家具有完善的质量管理体系、创新体系、环境保护体系、售后服务体系、自主创新优势及良好企业社会责任。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2、投标产品制造商需提供产品及平台开发体系CMMI5证书。</w:t>
      </w:r>
    </w:p>
    <w:p>
      <w:pPr>
        <w:spacing w:line="360" w:lineRule="auto"/>
        <w:ind w:firstLine="480" w:firstLineChars="200"/>
        <w:rPr>
          <w:rFonts w:ascii="仿宋" w:hAnsi="仿宋" w:eastAsia="仿宋" w:cs="仿宋"/>
          <w:sz w:val="24"/>
        </w:rPr>
      </w:pPr>
      <w:r>
        <w:rPr>
          <w:rFonts w:hint="eastAsia" w:ascii="仿宋" w:hAnsi="仿宋" w:eastAsia="仿宋" w:cs="仿宋"/>
          <w:sz w:val="24"/>
        </w:rPr>
        <w:t>3、LED显示屏投标人或投标人所投的LED产品厂商应具备较强的合同执行诚信度和执行能力，提供由国家工商行政管理总局颁发的“守合同重信用”企业证书，提供相关证明复印件并加盖单位公章。</w:t>
      </w:r>
    </w:p>
    <w:p>
      <w:pPr>
        <w:spacing w:line="360" w:lineRule="auto"/>
        <w:ind w:firstLine="480" w:firstLineChars="200"/>
        <w:rPr>
          <w:rFonts w:ascii="仿宋" w:hAnsi="仿宋" w:eastAsia="仿宋" w:cs="仿宋"/>
          <w:sz w:val="24"/>
        </w:rPr>
      </w:pPr>
      <w:r>
        <w:rPr>
          <w:rFonts w:hint="eastAsia" w:ascii="仿宋" w:hAnsi="仿宋" w:eastAsia="仿宋" w:cs="仿宋"/>
          <w:sz w:val="24"/>
        </w:rPr>
        <w:t>4、为保证本项目产品及服务具备良好的质量水平，保障系统兼容性，投标人所投产品的制造商需具备合理有效的企业标准体系，具备标准化良好行为AAAAA，提供证书复印件并加盖公章。</w:t>
      </w:r>
    </w:p>
    <w:p>
      <w:pPr>
        <w:pStyle w:val="2"/>
        <w:ind w:firstLine="480"/>
        <w:rPr>
          <w:rFonts w:eastAsia="仿宋"/>
        </w:rPr>
      </w:pPr>
      <w:r>
        <w:rPr>
          <w:rFonts w:hint="eastAsia" w:ascii="仿宋" w:hAnsi="仿宋" w:eastAsia="仿宋" w:cs="仿宋"/>
        </w:rPr>
        <w:t>5、投标人或投标人所投产品制造商应具备较好的系统集成能力、系统服务能力、研发创新能力，可提供关键性技术支撑，提供发展和改革委员会印发的国家地方联合工程研究中心或国家地方联合工程实验室的证明复印件并加盖公章。</w:t>
      </w:r>
    </w:p>
    <w:p>
      <w:pPr>
        <w:spacing w:line="360" w:lineRule="auto"/>
        <w:ind w:firstLine="480" w:firstLineChars="200"/>
        <w:rPr>
          <w:rFonts w:ascii="仿宋" w:hAnsi="仿宋" w:eastAsia="仿宋" w:cs="仿宋"/>
          <w:sz w:val="24"/>
        </w:rPr>
      </w:pPr>
      <w:r>
        <w:rPr>
          <w:rFonts w:hint="eastAsia" w:ascii="仿宋" w:hAnsi="仿宋" w:eastAsia="仿宋" w:cs="仿宋"/>
          <w:sz w:val="24"/>
        </w:rPr>
        <w:t>6、需提供制造厂家授权及三年售后服务函</w:t>
      </w:r>
    </w:p>
    <w:p>
      <w:pPr>
        <w:pStyle w:val="4"/>
        <w:numPr>
          <w:ilvl w:val="1"/>
          <w:numId w:val="2"/>
        </w:numPr>
        <w:spacing w:before="0" w:after="0" w:line="360" w:lineRule="auto"/>
        <w:rPr>
          <w:rFonts w:ascii="宋体" w:hAnsi="宋体" w:eastAsia="宋体"/>
          <w:sz w:val="28"/>
          <w:szCs w:val="28"/>
        </w:rPr>
      </w:pPr>
      <w:r>
        <w:rPr>
          <w:rFonts w:hint="eastAsia" w:ascii="宋体" w:hAnsi="宋体" w:eastAsia="宋体"/>
          <w:sz w:val="28"/>
          <w:szCs w:val="28"/>
        </w:rPr>
        <w:t>安装和售后服务要求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1、乙方负责安装及调试。</w:t>
      </w:r>
    </w:p>
    <w:p>
      <w:pPr>
        <w:spacing w:line="360" w:lineRule="auto"/>
        <w:ind w:firstLine="480" w:firstLineChars="200"/>
        <w:rPr>
          <w:rFonts w:ascii="仿宋" w:hAnsi="仿宋" w:eastAsia="仿宋" w:cs="仿宋"/>
          <w:sz w:val="24"/>
        </w:rPr>
      </w:pPr>
      <w:r>
        <w:rPr>
          <w:rFonts w:hint="eastAsia" w:ascii="仿宋" w:hAnsi="仿宋" w:eastAsia="仿宋" w:cs="仿宋"/>
          <w:sz w:val="24"/>
        </w:rPr>
        <w:t>2、质保期为安装调试合格后36个月。系统正常运行后，如出现技术和质量问题，接到甲方通知后，2小时内做出回应；技术人员24小时内到现场处理。</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3、乙方在施结束测试之前必须准备好，施工日志、接线图、原理图等资料。</w:t>
      </w:r>
    </w:p>
    <w:p>
      <w:pPr>
        <w:spacing w:line="360" w:lineRule="auto"/>
        <w:ind w:firstLine="480" w:firstLineChars="200"/>
        <w:rPr>
          <w:rFonts w:ascii="仿宋" w:hAnsi="仿宋" w:eastAsia="仿宋" w:cs="仿宋"/>
          <w:sz w:val="24"/>
        </w:rPr>
      </w:pPr>
      <w:r>
        <w:rPr>
          <w:rFonts w:hint="eastAsia" w:ascii="仿宋" w:hAnsi="仿宋" w:eastAsia="仿宋" w:cs="仿宋"/>
          <w:sz w:val="24"/>
        </w:rPr>
        <w:t>4、乙方要对矿方人员进行不低于8课时的系统性业务培训，使其能够独立完成常用业务的基础操作和故障排查诊断。</w:t>
      </w:r>
    </w:p>
    <w:p>
      <w:pPr>
        <w:pStyle w:val="4"/>
        <w:numPr>
          <w:ilvl w:val="1"/>
          <w:numId w:val="2"/>
        </w:numPr>
        <w:spacing w:before="0" w:after="0" w:line="360" w:lineRule="auto"/>
        <w:rPr>
          <w:rFonts w:ascii="宋体" w:hAnsi="宋体" w:eastAsia="宋体"/>
          <w:sz w:val="28"/>
          <w:szCs w:val="28"/>
        </w:rPr>
      </w:pPr>
      <w:r>
        <w:rPr>
          <w:rFonts w:hint="eastAsia" w:ascii="宋体" w:hAnsi="宋体" w:eastAsia="宋体"/>
          <w:sz w:val="28"/>
          <w:szCs w:val="28"/>
        </w:rPr>
        <w:t>设计依据要求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本项目依据以下规范设计：</w:t>
      </w:r>
    </w:p>
    <w:p>
      <w:pPr>
        <w:numPr>
          <w:ilvl w:val="0"/>
          <w:numId w:val="3"/>
        </w:numPr>
        <w:spacing w:line="360" w:lineRule="auto"/>
        <w:ind w:left="0" w:firstLine="480" w:firstLineChars="200"/>
        <w:rPr>
          <w:rFonts w:ascii="仿宋" w:hAnsi="仿宋" w:eastAsia="仿宋" w:cs="仿宋"/>
          <w:sz w:val="24"/>
        </w:rPr>
      </w:pPr>
      <w:r>
        <w:rPr>
          <w:rFonts w:hint="eastAsia" w:ascii="仿宋" w:hAnsi="仿宋" w:eastAsia="仿宋" w:cs="仿宋"/>
          <w:sz w:val="24"/>
        </w:rPr>
        <w:t>《发光二极管(LED)显示屏通用规范》    SJ/T11141—2017</w:t>
      </w:r>
    </w:p>
    <w:p>
      <w:pPr>
        <w:numPr>
          <w:ilvl w:val="0"/>
          <w:numId w:val="3"/>
        </w:numPr>
        <w:spacing w:line="360" w:lineRule="auto"/>
        <w:ind w:left="0" w:firstLine="480" w:firstLineChars="200"/>
        <w:rPr>
          <w:rFonts w:ascii="仿宋" w:hAnsi="仿宋" w:eastAsia="仿宋" w:cs="仿宋"/>
          <w:sz w:val="24"/>
        </w:rPr>
      </w:pPr>
      <w:r>
        <w:rPr>
          <w:rFonts w:hint="eastAsia" w:ascii="仿宋" w:hAnsi="仿宋" w:eastAsia="仿宋" w:cs="仿宋"/>
          <w:sz w:val="24"/>
        </w:rPr>
        <w:t>《LED显示屏测试方法》</w:t>
      </w:r>
    </w:p>
    <w:p>
      <w:pPr>
        <w:numPr>
          <w:ilvl w:val="0"/>
          <w:numId w:val="3"/>
        </w:numPr>
        <w:spacing w:line="360" w:lineRule="auto"/>
        <w:ind w:left="0" w:firstLine="480" w:firstLineChars="200"/>
        <w:rPr>
          <w:rFonts w:ascii="仿宋" w:hAnsi="仿宋" w:eastAsia="仿宋" w:cs="仿宋"/>
          <w:sz w:val="24"/>
        </w:rPr>
      </w:pPr>
      <w:r>
        <w:rPr>
          <w:rFonts w:hint="eastAsia" w:ascii="仿宋" w:hAnsi="仿宋" w:eastAsia="仿宋" w:cs="仿宋"/>
          <w:sz w:val="24"/>
        </w:rPr>
        <w:t>《计算机信息系统安全保护等级划分准则》 GB17859-1999</w:t>
      </w:r>
    </w:p>
    <w:p>
      <w:pPr>
        <w:numPr>
          <w:ilvl w:val="0"/>
          <w:numId w:val="3"/>
        </w:numPr>
        <w:spacing w:line="360" w:lineRule="auto"/>
        <w:ind w:left="0" w:firstLine="480" w:firstLineChars="200"/>
        <w:rPr>
          <w:rFonts w:ascii="仿宋" w:hAnsi="仿宋" w:eastAsia="仿宋" w:cs="仿宋"/>
          <w:sz w:val="24"/>
        </w:rPr>
      </w:pPr>
      <w:r>
        <w:rPr>
          <w:rFonts w:hint="eastAsia" w:ascii="仿宋" w:hAnsi="仿宋" w:eastAsia="仿宋" w:cs="仿宋"/>
          <w:sz w:val="24"/>
        </w:rPr>
        <w:t>《电力子操作工作站机房设计规范》GB50174-93</w:t>
      </w:r>
    </w:p>
    <w:p>
      <w:pPr>
        <w:numPr>
          <w:ilvl w:val="0"/>
          <w:numId w:val="3"/>
        </w:numPr>
        <w:spacing w:line="360" w:lineRule="auto"/>
        <w:ind w:left="0" w:firstLine="480" w:firstLineChars="200"/>
        <w:rPr>
          <w:rFonts w:ascii="仿宋" w:hAnsi="仿宋" w:eastAsia="仿宋" w:cs="仿宋"/>
          <w:sz w:val="24"/>
        </w:rPr>
      </w:pPr>
      <w:r>
        <w:rPr>
          <w:rFonts w:hint="eastAsia" w:ascii="仿宋" w:hAnsi="仿宋" w:eastAsia="仿宋" w:cs="仿宋"/>
          <w:sz w:val="24"/>
        </w:rPr>
        <w:t>《国际串行通讯标准》EIARS-232-C</w:t>
      </w:r>
    </w:p>
    <w:p>
      <w:pPr>
        <w:numPr>
          <w:ilvl w:val="0"/>
          <w:numId w:val="3"/>
        </w:numPr>
        <w:spacing w:line="360" w:lineRule="auto"/>
        <w:ind w:left="0" w:firstLine="480" w:firstLineChars="200"/>
        <w:rPr>
          <w:rFonts w:ascii="仿宋" w:hAnsi="仿宋" w:eastAsia="仿宋" w:cs="仿宋"/>
          <w:sz w:val="24"/>
        </w:rPr>
      </w:pPr>
      <w:r>
        <w:rPr>
          <w:rFonts w:hint="eastAsia" w:ascii="仿宋" w:hAnsi="仿宋" w:eastAsia="仿宋" w:cs="仿宋"/>
          <w:sz w:val="24"/>
        </w:rPr>
        <w:t>《工业操作工作站系统安装环境条件》ZBN18-001</w:t>
      </w:r>
    </w:p>
    <w:p>
      <w:pPr>
        <w:numPr>
          <w:ilvl w:val="0"/>
          <w:numId w:val="3"/>
        </w:numPr>
        <w:spacing w:line="360" w:lineRule="auto"/>
        <w:ind w:left="0" w:firstLine="480" w:firstLineChars="200"/>
        <w:rPr>
          <w:rFonts w:ascii="仿宋" w:hAnsi="仿宋" w:eastAsia="仿宋" w:cs="仿宋"/>
          <w:sz w:val="24"/>
        </w:rPr>
      </w:pPr>
      <w:r>
        <w:rPr>
          <w:rFonts w:hint="eastAsia" w:ascii="仿宋" w:hAnsi="仿宋" w:eastAsia="仿宋" w:cs="仿宋"/>
          <w:sz w:val="24"/>
        </w:rPr>
        <w:t>《电磁兼容》GB/T17626</w:t>
      </w:r>
    </w:p>
    <w:p>
      <w:pPr>
        <w:numPr>
          <w:ilvl w:val="0"/>
          <w:numId w:val="3"/>
        </w:numPr>
        <w:spacing w:line="360" w:lineRule="auto"/>
        <w:ind w:left="0" w:firstLine="480" w:firstLineChars="200"/>
        <w:rPr>
          <w:rFonts w:ascii="仿宋" w:hAnsi="仿宋" w:eastAsia="仿宋" w:cs="仿宋"/>
          <w:sz w:val="24"/>
        </w:rPr>
      </w:pPr>
      <w:r>
        <w:rPr>
          <w:rFonts w:hint="eastAsia" w:ascii="仿宋" w:hAnsi="仿宋" w:eastAsia="仿宋" w:cs="仿宋"/>
          <w:sz w:val="24"/>
        </w:rPr>
        <w:t>《远动设备及系统 第2部分:工作条件 第1篇:电源和电磁兼容性》 GB/T 15153.1-1998</w:t>
      </w:r>
    </w:p>
    <w:p>
      <w:r>
        <w:rPr>
          <w:rFonts w:hint="eastAsia" w:ascii="仿宋" w:hAnsi="仿宋" w:eastAsia="仿宋" w:cs="仿宋"/>
          <w:sz w:val="24"/>
        </w:rPr>
        <w:br w:type="page"/>
      </w:r>
    </w:p>
    <w:p>
      <w:pPr>
        <w:pStyle w:val="3"/>
        <w:numPr>
          <w:ilvl w:val="0"/>
          <w:numId w:val="1"/>
        </w:numPr>
        <w:spacing w:before="0" w:after="0" w:line="360" w:lineRule="auto"/>
        <w:jc w:val="center"/>
        <w:rPr>
          <w:rFonts w:ascii="宋体" w:hAnsi="宋体"/>
          <w:sz w:val="28"/>
          <w:szCs w:val="28"/>
        </w:rPr>
      </w:pPr>
      <w:r>
        <w:rPr>
          <w:rFonts w:hint="eastAsia" w:ascii="宋体" w:hAnsi="宋体"/>
          <w:sz w:val="28"/>
          <w:szCs w:val="28"/>
        </w:rPr>
        <w:t>整体方案设计要求</w:t>
      </w:r>
    </w:p>
    <w:p>
      <w:pPr>
        <w:pStyle w:val="4"/>
        <w:spacing w:before="0" w:after="0" w:line="360" w:lineRule="auto"/>
        <w:rPr>
          <w:rFonts w:ascii="仿宋" w:hAnsi="仿宋" w:eastAsia="仿宋" w:cs="仿宋"/>
          <w:sz w:val="24"/>
          <w:szCs w:val="24"/>
        </w:rPr>
      </w:pPr>
      <w:r>
        <w:rPr>
          <w:rFonts w:hint="eastAsia" w:ascii="宋体" w:hAnsi="宋体" w:eastAsia="宋体"/>
          <w:sz w:val="28"/>
          <w:szCs w:val="28"/>
        </w:rPr>
        <w:t>2.</w:t>
      </w:r>
      <w:r>
        <w:rPr>
          <w:rFonts w:ascii="宋体" w:hAnsi="宋体" w:eastAsia="宋体"/>
          <w:sz w:val="28"/>
          <w:szCs w:val="28"/>
        </w:rPr>
        <w:t>1</w:t>
      </w:r>
      <w:r>
        <w:rPr>
          <w:rFonts w:hint="eastAsia" w:ascii="宋体" w:hAnsi="宋体" w:eastAsia="宋体"/>
          <w:sz w:val="28"/>
          <w:szCs w:val="28"/>
        </w:rPr>
        <w:t>系统整体架构要求</w:t>
      </w:r>
    </w:p>
    <w:p>
      <w:pPr>
        <w:pStyle w:val="11"/>
        <w:ind w:firstLine="480"/>
        <w:rPr>
          <w:rFonts w:ascii="仿宋" w:hAnsi="仿宋" w:eastAsia="仿宋" w:cs="仿宋"/>
          <w:szCs w:val="24"/>
        </w:rPr>
      </w:pPr>
      <w:r>
        <w:rPr>
          <w:rFonts w:hint="eastAsia" w:ascii="仿宋" w:hAnsi="仿宋" w:eastAsia="仿宋" w:cs="仿宋"/>
          <w:szCs w:val="24"/>
        </w:rPr>
        <w:t>本项目要求显示系统屏幕采用不大于P1.5产品，像素间距不大于1.56mm，单位像素为表贴三合一LED，使用标准LED显示单元组成。为打造智能化控制中心，要求提供一套智能大屏管理软件，提供大屏显控和环境中控，提供大屏门户式的内容渲染和显示控制，可以将视频、PPT、可视化、AR\VR、GIS地图以及业务系统等内容投到大屏上，并且通过远程桌面和消息机制进行操控。为保证系统稳定性，主要设备小间距LED显示屏、LED控制器、视频综合平台、综合安防管理平台、智能大屏管理软件必须为同一品牌。小间距产品一体成型的压铸铝工艺，最大限度地保证了屏幕安装拼接精度和耐久度，并还具有图像无拼缝，静音，轻薄等特点。LED小间距屏幕物理像素间距小，单位面积内的像素密数量非常多，可以在很近距离观看并且没有颗粒感。</w:t>
      </w:r>
    </w:p>
    <w:p>
      <w:pPr>
        <w:pStyle w:val="11"/>
        <w:ind w:firstLine="480"/>
        <w:rPr>
          <w:rFonts w:ascii="仿宋" w:hAnsi="仿宋" w:eastAsia="仿宋" w:cs="仿宋"/>
          <w:szCs w:val="24"/>
        </w:rPr>
      </w:pPr>
    </w:p>
    <w:p>
      <w:pPr>
        <w:jc w:val="center"/>
      </w:pPr>
      <w:r>
        <w:rPr>
          <w:rFonts w:hint="eastAsia"/>
        </w:rPr>
        <w:t>效果图</w:t>
      </w:r>
    </w:p>
    <w:p>
      <w:pPr>
        <w:pStyle w:val="2"/>
        <w:ind w:firstLine="0" w:firstLineChars="0"/>
        <w:jc w:val="center"/>
        <w:rPr>
          <w:rFonts w:ascii="仿宋" w:hAnsi="仿宋" w:eastAsia="仿宋" w:cs="仿宋"/>
        </w:rPr>
      </w:pPr>
      <w:r>
        <w:rPr>
          <w:rFonts w:hint="eastAsia" w:ascii="仿宋" w:hAnsi="仿宋" w:eastAsia="仿宋" w:cs="仿宋"/>
        </w:rPr>
        <w:drawing>
          <wp:inline distT="0" distB="0" distL="114300" distR="114300">
            <wp:extent cx="5390515" cy="4043680"/>
            <wp:effectExtent l="0" t="0" r="635" b="444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4"/>
                    <a:stretch>
                      <a:fillRect/>
                    </a:stretch>
                  </pic:blipFill>
                  <pic:spPr>
                    <a:xfrm>
                      <a:off x="0" y="0"/>
                      <a:ext cx="5390515" cy="4043680"/>
                    </a:xfrm>
                    <a:prstGeom prst="rect">
                      <a:avLst/>
                    </a:prstGeom>
                  </pic:spPr>
                </pic:pic>
              </a:graphicData>
            </a:graphic>
          </wp:inline>
        </w:drawing>
      </w:r>
    </w:p>
    <w:p>
      <w:pPr>
        <w:pStyle w:val="2"/>
        <w:ind w:firstLine="0" w:firstLineChars="0"/>
        <w:jc w:val="center"/>
      </w:pPr>
    </w:p>
    <w:p>
      <w:pPr>
        <w:pStyle w:val="11"/>
        <w:ind w:firstLine="480"/>
        <w:rPr>
          <w:rFonts w:ascii="仿宋" w:hAnsi="仿宋" w:eastAsia="仿宋" w:cs="仿宋"/>
          <w:szCs w:val="24"/>
        </w:rPr>
      </w:pPr>
    </w:p>
    <w:p>
      <w:pPr>
        <w:pStyle w:val="2"/>
        <w:ind w:firstLine="0" w:firstLineChars="0"/>
        <w:jc w:val="center"/>
      </w:pPr>
      <w:r>
        <w:rPr>
          <w:rFonts w:hint="eastAsia" w:ascii="仿宋" w:hAnsi="仿宋" w:eastAsia="仿宋" w:cs="仿宋"/>
        </w:rPr>
        <w:drawing>
          <wp:inline distT="0" distB="0" distL="114300" distR="114300">
            <wp:extent cx="5728970" cy="4297045"/>
            <wp:effectExtent l="0" t="0" r="5080" b="825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5"/>
                    <a:stretch>
                      <a:fillRect/>
                    </a:stretch>
                  </pic:blipFill>
                  <pic:spPr>
                    <a:xfrm>
                      <a:off x="0" y="0"/>
                      <a:ext cx="5728970" cy="4297045"/>
                    </a:xfrm>
                    <a:prstGeom prst="rect">
                      <a:avLst/>
                    </a:prstGeom>
                  </pic:spPr>
                </pic:pic>
              </a:graphicData>
            </a:graphic>
          </wp:inline>
        </w:drawing>
      </w:r>
    </w:p>
    <w:p>
      <w:pPr>
        <w:pStyle w:val="3"/>
        <w:numPr>
          <w:ilvl w:val="0"/>
          <w:numId w:val="1"/>
        </w:numPr>
        <w:spacing w:before="0" w:after="0" w:line="360" w:lineRule="auto"/>
        <w:jc w:val="center"/>
        <w:rPr>
          <w:rFonts w:ascii="宋体" w:hAnsi="宋体"/>
          <w:sz w:val="28"/>
          <w:szCs w:val="28"/>
        </w:rPr>
      </w:pPr>
      <w:r>
        <w:rPr>
          <w:rFonts w:hint="eastAsia" w:ascii="宋体" w:hAnsi="宋体"/>
          <w:sz w:val="28"/>
          <w:szCs w:val="28"/>
        </w:rPr>
        <w:t>设备清单及技术要求</w:t>
      </w:r>
    </w:p>
    <w:p>
      <w:pPr>
        <w:pStyle w:val="4"/>
        <w:adjustRightInd w:val="0"/>
        <w:spacing w:before="120" w:after="120" w:line="360" w:lineRule="auto"/>
        <w:rPr>
          <w:rFonts w:ascii="宋体" w:hAnsi="宋体" w:eastAsia="宋体"/>
          <w:sz w:val="28"/>
          <w:szCs w:val="28"/>
        </w:rPr>
      </w:pPr>
      <w:r>
        <w:rPr>
          <w:rFonts w:hint="eastAsia" w:ascii="宋体" w:hAnsi="宋体" w:eastAsia="宋体"/>
          <w:sz w:val="28"/>
          <w:szCs w:val="28"/>
        </w:rPr>
        <w:t>3.1主要设备清单</w:t>
      </w:r>
    </w:p>
    <w:p>
      <w:pPr>
        <w:pStyle w:val="5"/>
        <w:spacing w:before="156" w:after="156"/>
        <w:rPr>
          <w:b/>
          <w:lang w:bidi="ar"/>
        </w:rPr>
      </w:pPr>
      <w:r>
        <w:rPr>
          <w:rFonts w:hint="eastAsia"/>
          <w:b/>
          <w:lang w:bidi="ar"/>
        </w:rPr>
        <w:t>1、大屏显示系统</w:t>
      </w:r>
    </w:p>
    <w:p>
      <w:pPr>
        <w:rPr>
          <w:b/>
          <w:lang w:bidi="ar"/>
        </w:rPr>
      </w:pPr>
    </w:p>
    <w:tbl>
      <w:tblPr>
        <w:tblStyle w:val="8"/>
        <w:tblW w:w="9644" w:type="dxa"/>
        <w:jc w:val="center"/>
        <w:tblLayout w:type="fixed"/>
        <w:tblCellMar>
          <w:top w:w="0" w:type="dxa"/>
          <w:left w:w="108" w:type="dxa"/>
          <w:bottom w:w="0" w:type="dxa"/>
          <w:right w:w="108" w:type="dxa"/>
        </w:tblCellMar>
      </w:tblPr>
      <w:tblGrid>
        <w:gridCol w:w="798"/>
        <w:gridCol w:w="1180"/>
        <w:gridCol w:w="6106"/>
        <w:gridCol w:w="780"/>
        <w:gridCol w:w="780"/>
      </w:tblGrid>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小间距LED室内全彩显示屏</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1.LED像素点间距≤1.5625mm;像素密度≥409600点/㎡；SMD封装。</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2、有效显示尺寸为7.2m*2.7m，投标方也可根据自身产品尺寸进行拼接，但是显示尺寸长和宽均不得小于规定长宽，误差范围不超过2％。</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3、色温3000K—10000K可调，水平、垂直视角160°，亮度均匀性≥97%，色度均匀性±0.003Cx,Cy之内，刷新率：3840Hz</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4、符合GB/T15115-2009；压铸铝箱体，抗腐蚀性，冲击韧性和屈服强度，符合要求。</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5、符合GB 4588.3-2002环氧玻璃布层压板，机械性能、电性能、耐高湿性能以及耐焊接性能，符合要求，使用温度130℃。（提供首页具有CNAS及CMA标识的第三方检测报告复印件并加盖厂家公章）</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6、支持通过实时智能分析算法，识别高亮画面，自动调整高亮亮度，解决刺眼问题，提高人眼观看舒适度，并实现功耗降低20%。</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7、支持通过实时智能分析算法，提高图像动态范围，低灰部分更深邃，高灰部分更清澈，SDR图像显示HDR效果。（提供首页具有CNAS及CMA标识的第三方检测报告复印件并加盖厂家公章）</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8、支持通过客户端、遥控器、物理按键对亮度和色温进行调节。</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9、支持RGB Gamma各自独立调节，解决低灰不均和色温偏移问题，让画面更加还原真实（手动）。</w:t>
            </w:r>
          </w:p>
          <w:p>
            <w:pPr>
              <w:widowControl/>
              <w:jc w:val="left"/>
              <w:textAlignment w:val="center"/>
              <w:rPr>
                <w:rFonts w:ascii="宋体" w:hAnsi="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19.44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LED控制器</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4个千兆网口输出，4个电口/光口自适应输出口，可任意连线带载1080P分辨率</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多控制器拼接级联显示，支持组播控制，实现完美同步</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支持超长条屏字幕显示，支持字幕左/右对齐、居中或滚动显示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自动除湿功能，有效保护受潮灯珠；四个湿度等级除湿模式，适用于不同湿度地区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远程客户端操作设备，快捷方便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支持遥控控制，屏幕显示遥控OSD 提示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任意网段内IP 自动获取，确保IP 无冲突，保证网络安全</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控制接口：RJ45</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信号输入接口：1路HDMI输入</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信号输出接口：1路HDMI输出,4路千兆网口输出，单口网口最大带载65万像素</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最大帯载能力：260万像素，2048×1152@60Hz或1920×1200@60Hz</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大屏支架</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适用于模组及箱体前维护产品，LED镀锌钢结构框架设计（中标后需提供详细施工图）、制作及安装。镀锌钢结构，黑钛金不锈钢包边，边框暂定5公分宽。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智能配电柜</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 类型：20KW配电柜</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 控制：欧姆龙PLC控制器，网络远程控制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3）元器件：德力西断路器，施耐德接触器</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 输入电压：380V，三相五线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5）输出电压：220V</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6）输出回路：6个单相回路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视频综合平台</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U标准机箱，满足各种规模的监控需求；标准机架式设计，运营级ATCA机箱系统；插拔式模块化设计，可根据需求灵活扩展；5槽位机箱，双电源适配器，单主控板；业务模块支持热插拔、双电源冗余、智能风扇自动调温，确保系统稳定可靠；双高速无阻塞背板设计，满足大容量视频数据高速交换的需求。本次配置2块4个HDMI口输出解码板，4块4个HDMI口输入编码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2投标产品支持双主控切换过程，解码显示视频无卡顿，编码预览视频无卡顿。。（提供公安部出具的型式检验报告复印件加盖原厂商公章）</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3、投标产品支持显示预案功能，可将样机的视频输出状态保存为场景，可设置多个场景并可对每个场景进行配置、清空、复制、修改、切换等操作，可实现多个场景轮巡切换、（预案）轮巡。</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4、投标产品支持1、2、4、6、8、9、12、16、32、36、48、64画面分割显示。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5、投标产品支持手动视频切换功能，支持将选定的视频输入切换到选定的视频输出，支持视音频同步切换、异步切换，画面切换时不出现黑屏。</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6、投标产品具有同一输入通道的视频图像在不同输出端口显示的失步误差小于1ms。</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7、投标产品可通过无线终端将视音频、图片、PPT等传送到屏幕上显示。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8、投标产品支持分辨率16384x6480、30Hz图像上墙功能，并且可以实现解码显示或本地回放实时视频，可设置点对点无缩放上墙。</w:t>
            </w:r>
          </w:p>
          <w:p>
            <w:pPr>
              <w:widowControl/>
              <w:jc w:val="left"/>
              <w:textAlignment w:val="center"/>
              <w:rPr>
                <w:rFonts w:ascii="宋体" w:hAnsi="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综合安防管理平台</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支持对用户、角色、组织、区域、人员、车辆、卡片、设备等基础资源进行管理调配；</w:t>
            </w:r>
          </w:p>
          <w:p>
            <w:pPr>
              <w:widowControl/>
              <w:numPr>
                <w:ilvl w:val="0"/>
                <w:numId w:val="4"/>
              </w:numPr>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支持大屏控制，支持对大屏进行1/4/9/16/25分屏、拼接、开窗、窗口漫游的操作，通过客户端支持电视墙开窗后支持分割，并支持将大屏分屏配置另保存为场景;</w:t>
            </w:r>
          </w:p>
          <w:p>
            <w:pPr>
              <w:widowControl/>
              <w:numPr>
                <w:ilvl w:val="0"/>
                <w:numId w:val="4"/>
              </w:numPr>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Pad大屏客户端支持在Pad上操作监控点上墙、拼接、分屏、漫游、预案切换等操作;7.通过客户端支持预览上墙、回放上墙、轮巡上墙、报警联动上墙;</w:t>
            </w:r>
          </w:p>
          <w:p>
            <w:pPr>
              <w:widowControl/>
              <w:numPr>
                <w:ilvl w:val="0"/>
                <w:numId w:val="4"/>
              </w:numPr>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电视墙场景管理和场景切换，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p>
          <w:p>
            <w:pPr>
              <w:widowControl/>
              <w:numPr>
                <w:ilvl w:val="0"/>
                <w:numId w:val="4"/>
              </w:numPr>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支持以中心管理服务为核心的网络拓扑结构，支持对系统中的分组、服务器、组件等统计概览、查看（需提供公安部检验报告复印件并加盖公章）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智能大屏管理平台</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支持C/S和B/S系统架构，支持 Windows操作系统，支持通过浏览器对系统进行设备统一管理、大屏配置、信号显示控制、场景预案管理、内容上墙、大屏门户、多屏互动、环境设 配置和控制操作、信息发布、大屏管理、字幕管理、中控管理，支持通过客户端软件和手机平板APP（安卓、鸿蒙、IOS）对大屏系统进行大屏门户、场景 预案切换、远程操控、内容上墙、内容切换等大屏操作</w:t>
            </w:r>
          </w:p>
          <w:p>
            <w:pPr>
              <w:widowControl/>
              <w:numPr>
                <w:ilvl w:val="0"/>
                <w:numId w:val="5"/>
              </w:numPr>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关联了播控信号的拼控大屏、播控大屏、会议平板等屏幕，支持创建多个播控页面，可按照播控的分辨率创建画布，画布支持调节缩放比例， 支持 添加、删除、修改多个页面，页面可设置背景颜色、背景图片等；支持将网页、程序包、图片、视频、 PPT 、Word 、 Excel 、 PDF 、文本等内容窗口拖动到播控页面中进行设置，可设置多种类型窗口的拼接布局，每种类型窗口可添加多个文件，可设置内容文件播放时长 、 内容播放顺序等属性，可一键切换大屏中播放的内容 ；支持 设置内容窗口层级、全屏，多个窗口的对齐方式（左对齐、居中对齐、右对齐、顶部对齐、垂直对齐、底部对齐）；窗口支持绑定系统快捷键，并支持将快捷键同步至操控端，进行快速控制（提供公安部出具的型式检验报告复印件加盖原厂商公章）</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3.支持展示视频、图片、网页等内容的缩略图，可控制正在播放视频的进度、启动、停止播放， 支持在进度条浮窗显示；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4.支持通过平板、客户端、网页的方式对系统进行可视化管理，包括场景管理、预案管理、信号场景切换、内容上墙、大屏门户管理、窗口叠加\拼接\分割\漫游\放大\缩小\移动\关闭\删除等、通过网络连接的 PC 电脑（无需连接视频线）一键上墙等操作；</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支持屏幕、网页、窗口等多种类型采集后投屏，不需要外接物理线缆，即可实现画面投屏显示；支持电脑桌面映像实时预览，并可反向控制桌面，实现远程控制，支持触摸屏控制；支持音频采集，支持音视频分离功能；支持自定义分辨率桌面采集编码，包括3840×2160、1920×1080、1280×720、1024×768、1280×1024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6、支持新增、修改、删除内容分组，支持通过缩略图和表格形式展示内容；支持通过上传文件新增图片、视频、程序包、 Word 、 PPT 、 PDF 、 Excel 等内容， 支持 添加网页，图片、网页、Word、PPT、PDF、Excel等内容支持在线预览；支持单个或批量 进行下载、删除、移动内容分组等操作；</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7、支持实时修改在大屏中的显示，支持离线编辑场景，编辑完成后，一键推送到大屏，更新大屏画面显示</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8、虚拟LED的横幅字幕支持文字和时钟两种形式，支持设置字幕显示的宽高位置、 文字内容、颜色、背景颜色、字体大小、显示模式（透明、半透明、不透明）、文字滚动速度支持设置时钟的显示时制（ 12 小时、 24 小时）、日期显示形式（年月日、月日年、日月年等）、文字颜色、背景颜色、文字大小、显示模式（透明、半透明、不透明）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180" w:type="dxa"/>
            <w:tcBorders>
              <w:top w:val="nil"/>
              <w:left w:val="nil"/>
              <w:bottom w:val="nil"/>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22"/>
                <w:szCs w:val="22"/>
                <w:lang w:bidi="ar"/>
              </w:rPr>
              <w:t>软件平台服务器</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2U双路标准机架式服务器</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CPU：配置2颗intel至强4210R处理器，核数≥10核，主频≥2.4GHz</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内存：配置64G DDR4，16根内存插槽，最大支持扩展至2TB内存</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硬盘：配置4块600G 10K 2.5寸 SAS硬盘；   最高支持12块3.5寸(兼容2.5寸)热插拔SAS/SATA硬盘，支持可选2块后置热插拔2.5寸硬盘</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阵列卡：配置SAS_HBA卡，支持RAID 0/1/10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PCIE扩展：支持6个PCIE扩展插槽</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网口：板载2个千兆电口，2个万兆光口；   支持选配10GbE、25GbE SFP+等多种网络接口</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其他接口：1个RJ45管理接口，后置2个USB 3.0接口，前置2个USB2.0接口，1个VGA接口</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硬盘录像机</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含4×4T定制盘</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2个HDMI接口、1个VGA接口，双异源输出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2个10M/100M/1000Mbps网口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2个USB2.0接口、1个USB3.0接口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1个eSATA接口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报警IO接口：16路报警输入，9路报警输出（其中第9路支持CTRL 12V）</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反向供电接口：1路（DC12V 1A）</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串行接口：1路全双工485接口 ，1路标准RS-232接口</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输入带宽：160Mbps</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输出带宽：160Mbps</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接入能力：16路H.264、H.265格式高清码流接入</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解码能力：最大支持12×1080P</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 w:val="22"/>
                <w:szCs w:val="22"/>
              </w:rPr>
            </w:pPr>
            <w:r>
              <w:rPr>
                <w:rFonts w:hint="eastAsia" w:ascii="宋体" w:hAnsi="宋体" w:cs="宋体"/>
                <w:color w:val="FF0000"/>
                <w:kern w:val="0"/>
                <w:sz w:val="22"/>
                <w:szCs w:val="22"/>
                <w:lang w:bidi="ar"/>
              </w:rPr>
              <w:t>热成像半球摄像机</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FF0000"/>
                <w:sz w:val="22"/>
                <w:szCs w:val="22"/>
                <w:lang w:val="en-US" w:eastAsia="zh-CN"/>
              </w:rPr>
            </w:pPr>
            <w:r>
              <w:rPr>
                <w:rFonts w:hint="eastAsia" w:ascii="宋体" w:hAnsi="宋体" w:cs="宋体"/>
                <w:color w:val="FF0000"/>
                <w:sz w:val="22"/>
                <w:szCs w:val="22"/>
                <w:lang w:val="en-US" w:eastAsia="zh-CN"/>
              </w:rPr>
              <w:t>原调度指挥中心摄像机迁移至新的调度指挥中心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180" w:type="dxa"/>
            <w:tcBorders>
              <w:top w:val="nil"/>
              <w:left w:val="nil"/>
              <w:bottom w:val="nil"/>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22"/>
                <w:szCs w:val="22"/>
                <w:lang w:bidi="ar"/>
              </w:rPr>
              <w:t>全彩警戒球机</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400万变焦臻全彩、轻智能人脸、声光警戒白光补光PoE球机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内置全彩双镜头</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采用深度学习硬件及算法，提供精准的人车分类报警及人脸抓拍功能</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智能警戒：支持越界侦测，区域入侵侦测，进入/离开区域侦测</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支持三种智能资源切换：人脸抓拍、Smart事件（警戒）、普通监控（默认）</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支持人脸抓拍模式，自动筛选输出最优人脸图，最大同时抓拍5张人脸</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支持联动声光报警</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最低照度: 彩色：0.0005 Lux@（F1.0，AGC ON），0 Lux with Light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宽动态: 数字宽动态</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焦距: 4~8 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1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交换机</w:t>
            </w:r>
          </w:p>
        </w:tc>
        <w:tc>
          <w:tcPr>
            <w:tcW w:w="61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千兆全网管二层交换机，机架式，24个千兆电口，4个万兆SFP+光口，支持通过console口管理。交换容量：336Gbps/3.36Tbps，包转发率：108Mpps/126Mpps，1U高度，19英寸宽，工作温度：0℃～45℃，满负荷功耗10W。支持VLAN,流量控制，ACL，QOS，环网RRPP，支持SNMP V1/V2c/V3网管。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color w:val="000000"/>
                <w:sz w:val="18"/>
                <w:szCs w:val="18"/>
              </w:rPr>
            </w:pPr>
            <w:r>
              <w:rPr>
                <w:rFonts w:hint="eastAsia" w:ascii="宋体" w:hAnsi="宋体" w:cs="宋体"/>
                <w:color w:val="000000"/>
                <w:kern w:val="0"/>
                <w:sz w:val="22"/>
                <w:szCs w:val="22"/>
                <w:lang w:bidi="ar"/>
              </w:rPr>
              <w:t>HDMI</w:t>
            </w:r>
            <w:r>
              <w:rPr>
                <w:rFonts w:ascii="宋体" w:hAnsi="宋体" w:cs="宋体"/>
                <w:color w:val="000000"/>
                <w:kern w:val="0"/>
                <w:sz w:val="22"/>
                <w:szCs w:val="22"/>
                <w:lang w:bidi="ar"/>
              </w:rPr>
              <w:t>高清线</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HDMI电缆,HDMI/AM转HDMI/AM,黑,加强型</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r>
      <w:tr>
        <w:tblPrEx>
          <w:tblCellMar>
            <w:top w:w="0" w:type="dxa"/>
            <w:left w:w="108" w:type="dxa"/>
            <w:bottom w:w="0" w:type="dxa"/>
            <w:right w:w="108" w:type="dxa"/>
          </w:tblCellMar>
        </w:tblPrEx>
        <w:trPr>
          <w:trHeight w:val="56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显示器</w:t>
            </w:r>
          </w:p>
        </w:tc>
        <w:tc>
          <w:tcPr>
            <w:tcW w:w="6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22"/>
                <w:szCs w:val="22"/>
                <w:lang w:bidi="ar"/>
              </w:rPr>
              <w:t>27显示器，含升降支架（1080P高清）</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移动平板</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触摸</w:t>
            </w:r>
          </w:p>
        </w:tc>
        <w:tc>
          <w:tcPr>
            <w:tcW w:w="78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1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调度台</w:t>
            </w:r>
          </w:p>
        </w:tc>
        <w:tc>
          <w:tcPr>
            <w:tcW w:w="610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共12席位，根据现场布置。底部采用落地式柜体设计，配件共包显示器支架，专用键盘抽屉，主机托盘,10把专用工学椅，操控台专用PDU。可以安装显示器支架，金属框架拼装结构，框架1.5mm厚优质冷轧钢板，前后门和托盘厚度1.0mm，经过磷化酸洗处理，每个工作位配备一组，27寸机架，一个托盘，一个键盘抽屉。可以多工位随意组合拼接，</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材质及功能要求：</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框架结构：台面25mm厚，e1级别环保实木颗粒板，前端一次成型，</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 走线设计：机房走上部支架，采用B级机房标准，调度室内走静电地板下方，控制台的线缆与设备分离，线缆具有独立的走线通道，保证电源线及信号线有双向走动，并保证互不干扰，实现强弱电分开的信号安全。</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 散热设计：综合热空气从下向上的流动物理特性，因此在主框架底部设置散热孔作为进风孔，在主框架顶部设定散热网板作为出风孔这样的控制台散热设计可以保护设备的长时间可靠安。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8.机房入口采用甲级安全防火栓开门，保障设备进入的尺寸，也对整个机房的防火采用安全的防火设计，包括UPS机房的单开门都采用甲级防火门设计。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调度通信操作台</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座椅</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真皮材质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打印机</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A3黑白激光，复印扫描一体机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传真电话</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电话、传真、打印一体机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光纤测试笔</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测试不少于10公里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光纤熔接机</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TOKO-10全自动光融机（含工具）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180" w:type="dxa"/>
            <w:tcBorders>
              <w:top w:val="nil"/>
              <w:left w:val="nil"/>
              <w:bottom w:val="nil"/>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其他辅材</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网线、电源线等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宗</w:t>
            </w:r>
          </w:p>
        </w:tc>
      </w:tr>
    </w:tbl>
    <w:p/>
    <w:p>
      <w:pPr>
        <w:pStyle w:val="5"/>
        <w:spacing w:before="156" w:after="156"/>
        <w:rPr>
          <w:b/>
          <w:lang w:bidi="ar"/>
        </w:rPr>
      </w:pPr>
      <w:r>
        <w:rPr>
          <w:rFonts w:hint="eastAsia"/>
          <w:b/>
          <w:lang w:bidi="ar"/>
        </w:rPr>
        <w:t>2、配电系统</w:t>
      </w:r>
    </w:p>
    <w:tbl>
      <w:tblPr>
        <w:tblStyle w:val="8"/>
        <w:tblW w:w="9781" w:type="dxa"/>
        <w:jc w:val="center"/>
        <w:tblLayout w:type="fixed"/>
        <w:tblCellMar>
          <w:top w:w="0" w:type="dxa"/>
          <w:left w:w="108" w:type="dxa"/>
          <w:bottom w:w="0" w:type="dxa"/>
          <w:right w:w="108" w:type="dxa"/>
        </w:tblCellMar>
      </w:tblPr>
      <w:tblGrid>
        <w:gridCol w:w="711"/>
        <w:gridCol w:w="2120"/>
        <w:gridCol w:w="5325"/>
        <w:gridCol w:w="800"/>
        <w:gridCol w:w="825"/>
      </w:tblGrid>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型号/规格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综合配电柜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FF0000"/>
                <w:kern w:val="0"/>
                <w:sz w:val="22"/>
                <w:szCs w:val="22"/>
                <w:lang w:bidi="ar"/>
              </w:rPr>
              <w:t>含ATS,UPS输入输出，空调等配电系统，元器件为国产品牌</w:t>
            </w:r>
            <w:r>
              <w:rPr>
                <w:rFonts w:hint="eastAsia" w:ascii="宋体" w:hAnsi="宋体" w:cs="宋体"/>
                <w:color w:val="FF0000"/>
                <w:kern w:val="0"/>
                <w:sz w:val="22"/>
                <w:szCs w:val="22"/>
                <w:lang w:eastAsia="zh-CN" w:bidi="ar"/>
              </w:rPr>
              <w:t>（</w:t>
            </w:r>
            <w:r>
              <w:rPr>
                <w:rFonts w:hint="eastAsia" w:ascii="宋体" w:hAnsi="宋体" w:cs="宋体"/>
                <w:color w:val="FF0000"/>
                <w:kern w:val="0"/>
                <w:sz w:val="22"/>
                <w:szCs w:val="22"/>
                <w:lang w:val="en-US" w:eastAsia="zh-CN" w:bidi="ar"/>
              </w:rPr>
              <w:t>外部电源不少于两各回路，自动切换</w:t>
            </w:r>
            <w:r>
              <w:rPr>
                <w:rFonts w:hint="eastAsia" w:ascii="宋体" w:hAnsi="宋体" w:cs="宋体"/>
                <w:color w:val="FF0000"/>
                <w:kern w:val="0"/>
                <w:sz w:val="22"/>
                <w:szCs w:val="22"/>
                <w:lang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UPS</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000000"/>
                <w:sz w:val="22"/>
                <w:szCs w:val="22"/>
                <w:lang w:eastAsia="zh-CN"/>
              </w:rPr>
            </w:pPr>
            <w:r>
              <w:rPr>
                <w:rFonts w:hint="eastAsia" w:ascii="宋体" w:hAnsi="宋体" w:cs="宋体"/>
                <w:color w:val="FF0000"/>
                <w:kern w:val="0"/>
                <w:sz w:val="22"/>
                <w:szCs w:val="22"/>
                <w:lang w:bidi="ar"/>
              </w:rPr>
              <w:t>三三塔式高频机，30K</w:t>
            </w:r>
            <w:r>
              <w:rPr>
                <w:rFonts w:hint="eastAsia" w:ascii="宋体" w:hAnsi="宋体" w:cs="宋体"/>
                <w:color w:val="FF0000"/>
                <w:kern w:val="0"/>
                <w:sz w:val="22"/>
                <w:szCs w:val="22"/>
                <w:lang w:eastAsia="zh-CN" w:bidi="ar"/>
              </w:rPr>
              <w:t>（</w:t>
            </w:r>
            <w:r>
              <w:rPr>
                <w:rFonts w:hint="eastAsia" w:ascii="宋体" w:hAnsi="宋体" w:eastAsia="宋体" w:cs="宋体"/>
                <w:color w:val="FF0000"/>
                <w:kern w:val="0"/>
                <w:sz w:val="20"/>
                <w:szCs w:val="20"/>
                <w:lang w:val="en-US" w:eastAsia="zh-CN" w:bidi="ar"/>
              </w:rPr>
              <w:t>保证主要调度信息化系统续航时间</w:t>
            </w:r>
            <w:r>
              <w:rPr>
                <w:rFonts w:hint="eastAsia" w:ascii="宋体" w:hAnsi="宋体" w:eastAsia="宋体" w:cs="宋体"/>
                <w:b/>
                <w:bCs/>
                <w:color w:val="FF0000"/>
                <w:kern w:val="0"/>
                <w:sz w:val="20"/>
                <w:szCs w:val="20"/>
                <w:lang w:val="en-US" w:eastAsia="zh-CN" w:bidi="ar"/>
              </w:rPr>
              <w:t>≥</w:t>
            </w:r>
            <w:r>
              <w:rPr>
                <w:rFonts w:hint="eastAsia" w:ascii="宋体" w:hAnsi="宋体" w:eastAsia="宋体" w:cs="宋体"/>
                <w:color w:val="FF0000"/>
                <w:kern w:val="0"/>
                <w:sz w:val="20"/>
                <w:szCs w:val="20"/>
                <w:lang w:val="en-US" w:eastAsia="zh-CN" w:bidi="ar"/>
              </w:rPr>
              <w:t>4 小时</w:t>
            </w:r>
            <w:r>
              <w:rPr>
                <w:rFonts w:hint="eastAsia" w:ascii="宋体" w:hAnsi="宋体" w:cs="宋体"/>
                <w:color w:val="FF0000"/>
                <w:kern w:val="0"/>
                <w:sz w:val="22"/>
                <w:szCs w:val="22"/>
                <w:lang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UPS输入输出线缆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ZA-YJV-（5x25)mm²</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机柜电源</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配电排线缆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蓄电池</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12V100AH</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节</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电池架</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B120-32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电池连接线</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电池连接线ZA-BVR25mm²</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辅材</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FF0000"/>
                <w:kern w:val="0"/>
                <w:sz w:val="22"/>
                <w:szCs w:val="22"/>
                <w:lang w:bidi="ar"/>
              </w:rPr>
              <w:t>63A3P直流</w:t>
            </w:r>
            <w:r>
              <w:rPr>
                <w:rFonts w:hint="eastAsia" w:ascii="宋体" w:hAnsi="宋体" w:cs="宋体"/>
                <w:color w:val="FF0000"/>
                <w:kern w:val="0"/>
                <w:sz w:val="22"/>
                <w:szCs w:val="22"/>
                <w:lang w:val="en-US" w:eastAsia="zh-CN" w:bidi="ar"/>
              </w:rPr>
              <w:t>断路器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bl>
    <w:p>
      <w:pPr>
        <w:pStyle w:val="5"/>
        <w:spacing w:before="156" w:after="156"/>
        <w:rPr>
          <w:b/>
          <w:lang w:bidi="ar"/>
        </w:rPr>
      </w:pPr>
      <w:r>
        <w:rPr>
          <w:rFonts w:hint="eastAsia"/>
          <w:b/>
          <w:lang w:bidi="ar"/>
        </w:rPr>
        <w:t>3、机柜系统</w:t>
      </w:r>
    </w:p>
    <w:tbl>
      <w:tblPr>
        <w:tblStyle w:val="8"/>
        <w:tblpPr w:leftFromText="180" w:rightFromText="180" w:vertAnchor="text" w:horzAnchor="page" w:tblpX="1354" w:tblpY="173"/>
        <w:tblOverlap w:val="never"/>
        <w:tblW w:w="9618" w:type="dxa"/>
        <w:tblInd w:w="0" w:type="dxa"/>
        <w:tblLayout w:type="fixed"/>
        <w:tblCellMar>
          <w:top w:w="0" w:type="dxa"/>
          <w:left w:w="108" w:type="dxa"/>
          <w:bottom w:w="0" w:type="dxa"/>
          <w:right w:w="108" w:type="dxa"/>
        </w:tblCellMar>
      </w:tblPr>
      <w:tblGrid>
        <w:gridCol w:w="804"/>
        <w:gridCol w:w="1538"/>
        <w:gridCol w:w="5331"/>
        <w:gridCol w:w="920"/>
        <w:gridCol w:w="1025"/>
      </w:tblGrid>
      <w:tr>
        <w:tblPrEx>
          <w:tblCellMar>
            <w:top w:w="0" w:type="dxa"/>
            <w:left w:w="108" w:type="dxa"/>
            <w:bottom w:w="0" w:type="dxa"/>
            <w:right w:w="108" w:type="dxa"/>
          </w:tblCellMar>
        </w:tblPrEx>
        <w:trPr>
          <w:trHeight w:val="61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型号/规格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61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服务器机柜</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规格：600*1100*2000mm宽*深*高</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highlight w:val="none"/>
              </w:rPr>
            </w:pPr>
            <w:r>
              <w:rPr>
                <w:rFonts w:hint="eastAsia" w:ascii="宋体" w:hAnsi="宋体" w:cs="宋体"/>
                <w:color w:val="FF0000"/>
                <w:kern w:val="0"/>
                <w:sz w:val="22"/>
                <w:szCs w:val="22"/>
                <w:highlight w:val="none"/>
                <w:lang w:bidi="ar"/>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61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固定托盘</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轻载固定托盘，承重50KG（适用于服务器机柜）</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highlight w:val="none"/>
              </w:rPr>
            </w:pPr>
            <w:r>
              <w:rPr>
                <w:rFonts w:hint="eastAsia" w:ascii="宋体" w:hAnsi="宋体" w:cs="宋体"/>
                <w:color w:val="FF0000"/>
                <w:kern w:val="0"/>
                <w:sz w:val="22"/>
                <w:szCs w:val="22"/>
                <w:highlight w:val="none"/>
                <w:lang w:bidi="ar"/>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63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PDU</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7位带防雷水平安装，10A</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highlight w:val="none"/>
              </w:rPr>
            </w:pPr>
            <w:r>
              <w:rPr>
                <w:rFonts w:hint="eastAsia" w:ascii="宋体" w:hAnsi="宋体" w:cs="宋体"/>
                <w:color w:val="FF0000"/>
                <w:kern w:val="0"/>
                <w:sz w:val="22"/>
                <w:szCs w:val="22"/>
                <w:highlight w:val="none"/>
                <w:lang w:bidi="ar"/>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bl>
    <w:p/>
    <w:p>
      <w:pPr>
        <w:pStyle w:val="5"/>
        <w:spacing w:before="156" w:after="156"/>
        <w:rPr>
          <w:b/>
          <w:lang w:bidi="ar"/>
        </w:rPr>
      </w:pPr>
      <w:r>
        <w:rPr>
          <w:rFonts w:hint="eastAsia"/>
          <w:b/>
          <w:lang w:bidi="ar"/>
        </w:rPr>
        <w:t>4、动环监控系统</w:t>
      </w:r>
    </w:p>
    <w:tbl>
      <w:tblPr>
        <w:tblStyle w:val="8"/>
        <w:tblW w:w="9310" w:type="dxa"/>
        <w:jc w:val="center"/>
        <w:tblLayout w:type="fixed"/>
        <w:tblCellMar>
          <w:top w:w="0" w:type="dxa"/>
          <w:left w:w="108" w:type="dxa"/>
          <w:bottom w:w="0" w:type="dxa"/>
          <w:right w:w="108" w:type="dxa"/>
        </w:tblCellMar>
      </w:tblPr>
      <w:tblGrid>
        <w:gridCol w:w="851"/>
        <w:gridCol w:w="1417"/>
        <w:gridCol w:w="5529"/>
        <w:gridCol w:w="740"/>
        <w:gridCol w:w="773"/>
      </w:tblGrid>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型号/规格</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10" w:hRule="atLeast"/>
          <w:jc w:val="center"/>
        </w:trPr>
        <w:tc>
          <w:tcPr>
            <w:tcW w:w="7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kern w:val="0"/>
                <w:sz w:val="22"/>
                <w:szCs w:val="22"/>
                <w:lang w:bidi="ar"/>
              </w:rPr>
            </w:pPr>
            <w:r>
              <w:rPr>
                <w:rFonts w:hint="eastAsia" w:ascii="宋体" w:hAnsi="宋体" w:cs="宋体"/>
                <w:color w:val="000000"/>
                <w:kern w:val="0"/>
                <w:sz w:val="22"/>
                <w:szCs w:val="22"/>
                <w:lang w:bidi="ar"/>
              </w:rPr>
              <w:t>1、智能设备监控系统（提供接口通信协议）</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智能协议软件</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1、系统能对机房UPS各部件的运行状态进行监控。如：UPS的各开关、整流器、电池、逆变器、旁路及输出等各部分的状态。系统标明UPS电流流向，可看到负载的供电状况，是否受保护等。                                             2、系统能对机房UPS各部件的参数状态进行监控，如：电压、电流、频率、功率、后备时间等；整流器与旁路的电压、电流参数；逆变器与电池的电压、电流及电池的后备时间、充电量，负载的电压、电流参数，并合理布局、形象显示。 3、具体监测的内容和控制的项目与卖方提供的该型号通讯协议规定的内容相符。能够实时反映设备状态及故障信息，记录各种数据</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highlight w:val="none"/>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10" w:hRule="atLeast"/>
          <w:jc w:val="center"/>
        </w:trPr>
        <w:tc>
          <w:tcPr>
            <w:tcW w:w="7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kern w:val="0"/>
                <w:sz w:val="22"/>
                <w:szCs w:val="22"/>
                <w:lang w:bidi="ar"/>
              </w:rPr>
            </w:pPr>
            <w:r>
              <w:rPr>
                <w:rFonts w:hint="eastAsia" w:ascii="宋体" w:hAnsi="宋体" w:cs="宋体"/>
                <w:color w:val="000000"/>
                <w:kern w:val="0"/>
                <w:sz w:val="22"/>
                <w:szCs w:val="22"/>
                <w:lang w:bidi="ar"/>
              </w:rPr>
              <w:t>2、温湿度监控系统</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智能温湿度传感器</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供电电源：12VDC；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电流：＜10mA；</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显示：数码显示参数值，自检显示；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测湿范围：0-100% RH，精度：±3%RH（25℃时）；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测温范围：-40℃～125℃，精度：±0.5℃（全量程内）；</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串行输出：RS485；</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工作环境：-20℃～60℃，0-100% RH；</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最大尺寸：  86×86×30mm；</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r>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温湿度软件接口开发</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查看温湿度曲线（实时、历史、任意时段），形成温湿度曲线报表，参数越限提供报警</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10" w:hRule="atLeast"/>
          <w:jc w:val="center"/>
        </w:trPr>
        <w:tc>
          <w:tcPr>
            <w:tcW w:w="7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3、 漏水监控系统</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机房空调漏水传感器</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供电电源：12-24VDC；</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输出形式：干接点，水浸检出时输出常开、常闭可跳线选；出厂设置默认为常开；</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短路时阻抗＜50Ω，负载电压＜60V，负载电流＜30mA；</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告警：负载不超过最大值，否则会导致适配器的损坏。</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静态电流：＜60 mA；</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告警电流：＜90 mA；</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工作环境：-10～55℃，10～98％RH；</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5米漏水感应线</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漏水监测软件模块</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机房出现漏水，系统实时发出告警</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rPr>
          <w:trHeight w:val="510" w:hRule="atLeast"/>
          <w:jc w:val="center"/>
        </w:trPr>
        <w:tc>
          <w:tcPr>
            <w:tcW w:w="7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4、消防系统监测系统</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烟雾传感器</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感应方式：光电式 工作电压：12V 工作温度 ；-10度-50度 检测面积：20平方 报警方式：常开/常闭（可选）直接接入监控主机无需外加开关量模块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10" w:hRule="atLeast"/>
          <w:jc w:val="center"/>
        </w:trPr>
        <w:tc>
          <w:tcPr>
            <w:tcW w:w="7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5、集中监控系统基本配置</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边缘计算网关</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边缘计算网关基于嵌入式芯片，Linux操作系统，大容量存储器，提供便捷的嵌入式WEB服务，无需依赖上位机软件即可完成供配电、UPS、空调、漏水、温湿度、红外等进行集中监控管理及实现报警功能。提供8个独立串口、8路开关量接入、4路模拟量接入、4路漏水接入、6路DO继电器输出，具备短信与电话功能 ，系统便于第三方集成，对外有WEBService接口，MODBUS TCP接口，支持SNMP三种开放接口协议，可实现灵活组网或跨平台无缝集成</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短信报警系统</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rPr>
          <w:trHeight w:val="510" w:hRule="atLeast"/>
          <w:jc w:val="center"/>
        </w:trPr>
        <w:tc>
          <w:tcPr>
            <w:tcW w:w="7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6、辅助配件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信号线</w:t>
            </w:r>
          </w:p>
        </w:tc>
        <w:tc>
          <w:tcPr>
            <w:tcW w:w="5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超五类网线非屏蔽</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箱</w:t>
            </w:r>
          </w:p>
        </w:tc>
      </w:tr>
      <w:tr>
        <w:tblPrEx>
          <w:tblCellMar>
            <w:top w:w="0" w:type="dxa"/>
            <w:left w:w="108" w:type="dxa"/>
            <w:bottom w:w="0" w:type="dxa"/>
            <w:right w:w="108" w:type="dxa"/>
          </w:tblCellMar>
        </w:tblPrEx>
        <w:trPr>
          <w:trHeight w:val="51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布线管材</w:t>
            </w:r>
          </w:p>
        </w:tc>
        <w:tc>
          <w:tcPr>
            <w:tcW w:w="5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r>
    </w:tbl>
    <w:p/>
    <w:p>
      <w:pPr>
        <w:pStyle w:val="5"/>
        <w:spacing w:before="156" w:after="156"/>
        <w:rPr>
          <w:b/>
          <w:lang w:bidi="ar"/>
        </w:rPr>
      </w:pPr>
      <w:r>
        <w:rPr>
          <w:rFonts w:hint="eastAsia"/>
          <w:b/>
          <w:lang w:bidi="ar"/>
        </w:rPr>
        <w:t>5、消防系统与制冷系统</w:t>
      </w:r>
    </w:p>
    <w:tbl>
      <w:tblPr>
        <w:tblStyle w:val="8"/>
        <w:tblW w:w="9498" w:type="dxa"/>
        <w:jc w:val="center"/>
        <w:tblLayout w:type="fixed"/>
        <w:tblCellMar>
          <w:top w:w="0" w:type="dxa"/>
          <w:left w:w="108" w:type="dxa"/>
          <w:bottom w:w="0" w:type="dxa"/>
          <w:right w:w="108" w:type="dxa"/>
        </w:tblCellMar>
      </w:tblPr>
      <w:tblGrid>
        <w:gridCol w:w="919"/>
        <w:gridCol w:w="1428"/>
        <w:gridCol w:w="5385"/>
        <w:gridCol w:w="889"/>
        <w:gridCol w:w="877"/>
      </w:tblGrid>
      <w:tr>
        <w:tblPrEx>
          <w:tblCellMar>
            <w:top w:w="0" w:type="dxa"/>
            <w:left w:w="108" w:type="dxa"/>
            <w:bottom w:w="0" w:type="dxa"/>
            <w:right w:w="108" w:type="dxa"/>
          </w:tblCellMar>
        </w:tblPrEx>
        <w:trPr>
          <w:trHeight w:val="534"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型号/规格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34"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消防模块</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机架式</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2U</w:t>
            </w:r>
            <w:r>
              <w:rPr>
                <w:rFonts w:hint="eastAsia" w:ascii="宋体" w:hAnsi="宋体" w:cs="宋体"/>
                <w:color w:val="000000"/>
                <w:kern w:val="0"/>
                <w:sz w:val="22"/>
                <w:szCs w:val="22"/>
                <w:lang w:val="en-US" w:eastAsia="zh-CN" w:bidi="ar"/>
              </w:rPr>
              <w:t>厚度）</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45"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吸顶空调</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6匹一拖二</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45"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FF0000"/>
                <w:kern w:val="0"/>
                <w:sz w:val="22"/>
                <w:szCs w:val="22"/>
                <w:lang w:val="en-US" w:eastAsia="zh-CN" w:bidi="ar"/>
              </w:rPr>
            </w:pPr>
            <w:r>
              <w:rPr>
                <w:rFonts w:hint="eastAsia" w:ascii="宋体" w:hAnsi="宋体" w:cs="宋体"/>
                <w:color w:val="FF0000"/>
                <w:kern w:val="0"/>
                <w:sz w:val="22"/>
                <w:szCs w:val="22"/>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FF0000"/>
                <w:kern w:val="0"/>
                <w:sz w:val="22"/>
                <w:szCs w:val="22"/>
                <w:lang w:val="en-US" w:eastAsia="zh-CN" w:bidi="ar"/>
              </w:rPr>
            </w:pPr>
            <w:r>
              <w:rPr>
                <w:rFonts w:hint="eastAsia" w:ascii="宋体" w:hAnsi="宋体" w:cs="宋体"/>
                <w:color w:val="FF0000"/>
                <w:kern w:val="0"/>
                <w:sz w:val="22"/>
                <w:szCs w:val="22"/>
                <w:lang w:val="en-US" w:eastAsia="zh-CN" w:bidi="ar"/>
              </w:rPr>
              <w:t>柜式空调</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FF0000"/>
                <w:kern w:val="0"/>
                <w:sz w:val="22"/>
                <w:szCs w:val="22"/>
                <w:lang w:val="en-US" w:eastAsia="zh-CN" w:bidi="ar"/>
              </w:rPr>
            </w:pPr>
            <w:r>
              <w:rPr>
                <w:rFonts w:hint="eastAsia" w:ascii="宋体" w:hAnsi="宋体" w:cs="宋体"/>
                <w:color w:val="FF0000"/>
                <w:kern w:val="0"/>
                <w:sz w:val="22"/>
                <w:szCs w:val="22"/>
                <w:lang w:val="en-US" w:eastAsia="zh-CN" w:bidi="ar"/>
              </w:rPr>
              <w:t>5匹立式（安装在电池房内）</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kern w:val="0"/>
                <w:sz w:val="22"/>
                <w:szCs w:val="22"/>
                <w:lang w:val="en-US" w:eastAsia="zh-CN" w:bidi="ar"/>
              </w:rPr>
            </w:pPr>
            <w:r>
              <w:rPr>
                <w:rFonts w:hint="eastAsia" w:ascii="宋体" w:hAnsi="宋体" w:cs="宋体"/>
                <w:color w:val="FF0000"/>
                <w:kern w:val="0"/>
                <w:sz w:val="22"/>
                <w:szCs w:val="22"/>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kern w:val="0"/>
                <w:sz w:val="22"/>
                <w:szCs w:val="22"/>
                <w:lang w:val="en-US" w:eastAsia="zh-CN" w:bidi="ar"/>
              </w:rPr>
            </w:pPr>
            <w:r>
              <w:rPr>
                <w:rFonts w:hint="eastAsia" w:ascii="宋体" w:hAnsi="宋体" w:cs="宋体"/>
                <w:color w:val="FF0000"/>
                <w:kern w:val="0"/>
                <w:sz w:val="22"/>
                <w:szCs w:val="22"/>
                <w:lang w:val="en-US" w:eastAsia="zh-CN" w:bidi="ar"/>
              </w:rPr>
              <w:t>套</w:t>
            </w:r>
          </w:p>
        </w:tc>
      </w:tr>
    </w:tbl>
    <w:p>
      <w:pPr>
        <w:pStyle w:val="5"/>
        <w:spacing w:before="156" w:after="156"/>
        <w:rPr>
          <w:b/>
          <w:lang w:bidi="ar"/>
        </w:rPr>
      </w:pPr>
      <w:r>
        <w:rPr>
          <w:rFonts w:hint="eastAsia"/>
          <w:b/>
          <w:lang w:bidi="ar"/>
        </w:rPr>
        <w:t>6.  机房防雷接地工程</w:t>
      </w:r>
    </w:p>
    <w:tbl>
      <w:tblPr>
        <w:tblStyle w:val="8"/>
        <w:tblW w:w="9738" w:type="dxa"/>
        <w:tblInd w:w="159" w:type="dxa"/>
        <w:tblLayout w:type="fixed"/>
        <w:tblCellMar>
          <w:top w:w="0" w:type="dxa"/>
          <w:left w:w="108" w:type="dxa"/>
          <w:bottom w:w="0" w:type="dxa"/>
          <w:right w:w="108" w:type="dxa"/>
        </w:tblCellMar>
      </w:tblPr>
      <w:tblGrid>
        <w:gridCol w:w="720"/>
        <w:gridCol w:w="1787"/>
        <w:gridCol w:w="5771"/>
        <w:gridCol w:w="720"/>
        <w:gridCol w:w="740"/>
      </w:tblGrid>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型号/规格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等电位联结带</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T2紫铜排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绝缘子</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安装间距1200mm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等电位联结箱</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等电位连接线</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接地铜编带6mm</w:t>
            </w:r>
            <w:r>
              <w:rPr>
                <w:rFonts w:hint="eastAsia" w:ascii="宋体" w:hAnsi="宋体" w:cs="宋体"/>
                <w:color w:val="000000"/>
                <w:kern w:val="0"/>
                <w:sz w:val="22"/>
                <w:szCs w:val="22"/>
                <w:vertAlign w:val="superscript"/>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接地母线</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BVR-50mm</w:t>
            </w:r>
            <w:r>
              <w:rPr>
                <w:rFonts w:hint="eastAsia" w:ascii="宋体" w:hAnsi="宋体" w:cs="宋体"/>
                <w:color w:val="000000"/>
                <w:kern w:val="0"/>
                <w:sz w:val="22"/>
                <w:szCs w:val="22"/>
                <w:vertAlign w:val="superscript"/>
                <w:lang w:bidi="ar"/>
              </w:rPr>
              <w:t xml:space="preserve">2 </w:t>
            </w:r>
            <w:r>
              <w:rPr>
                <w:rStyle w:val="15"/>
                <w:rFonts w:hint="default"/>
                <w:lang w:bidi="ar"/>
              </w:rPr>
              <w:t>黄绿双色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自然接地体制作</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接地电阻≤1Ω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辅材</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M8*70膨胀螺栓，M6*15螺栓、螺母、线鼻子等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r>
    </w:tbl>
    <w:p/>
    <w:p>
      <w:pPr>
        <w:pStyle w:val="5"/>
        <w:spacing w:before="156" w:after="156"/>
        <w:rPr>
          <w:b/>
          <w:lang w:bidi="ar"/>
        </w:rPr>
      </w:pPr>
      <w:r>
        <w:rPr>
          <w:rFonts w:hint="eastAsia"/>
          <w:b/>
          <w:lang w:bidi="ar"/>
        </w:rPr>
        <w:t>7、新风排烟系统</w:t>
      </w:r>
    </w:p>
    <w:tbl>
      <w:tblPr>
        <w:tblStyle w:val="8"/>
        <w:tblW w:w="9692" w:type="dxa"/>
        <w:jc w:val="center"/>
        <w:tblLayout w:type="autofit"/>
        <w:tblCellMar>
          <w:top w:w="0" w:type="dxa"/>
          <w:left w:w="108" w:type="dxa"/>
          <w:bottom w:w="0" w:type="dxa"/>
          <w:right w:w="108" w:type="dxa"/>
        </w:tblCellMar>
      </w:tblPr>
      <w:tblGrid>
        <w:gridCol w:w="779"/>
        <w:gridCol w:w="1822"/>
        <w:gridCol w:w="5431"/>
        <w:gridCol w:w="870"/>
        <w:gridCol w:w="790"/>
      </w:tblGrid>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描述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柜式新风机</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1、风量400m3/h；2、电压：220V； 3、余压：25PA；</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新风管道密闭防火阀（70°）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规格：400*200，平时常开，气体灭火后自动开启，联动风机，电动关闭,手动复位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新风管道</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规格：400*200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新风散流器风口</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规格：300*300，白色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外墙防雨百页</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规格：500*500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轴流排风机</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1、风量1200m3/h；2、内置高温电机，配设电机冷却系统；3、双速电机直联传动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280℃电动常闭风阀</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400*200，平时常闭，气体灭火后自动开启，联动风机，电动打开,手动复位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风机控制开关</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3P，25A断路器+控制盒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外墙防雨百页</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规格：500*500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排烟管道</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配套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r>
      <w:tr>
        <w:tblPrEx>
          <w:tblCellMar>
            <w:top w:w="0" w:type="dxa"/>
            <w:left w:w="108" w:type="dxa"/>
            <w:bottom w:w="0" w:type="dxa"/>
            <w:right w:w="108" w:type="dxa"/>
          </w:tblCellMar>
        </w:tblPrEx>
        <w:trPr>
          <w:trHeight w:val="51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辅材</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暂估，需根据现场实际情况而定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r>
    </w:tbl>
    <w:p/>
    <w:p>
      <w:pPr>
        <w:pStyle w:val="5"/>
        <w:spacing w:before="156" w:after="156"/>
        <w:rPr>
          <w:b/>
          <w:lang w:eastAsia="zh-Hans" w:bidi="ar"/>
        </w:rPr>
      </w:pPr>
      <w:r>
        <w:rPr>
          <w:rFonts w:hint="eastAsia"/>
          <w:b/>
          <w:lang w:bidi="ar"/>
        </w:rPr>
        <w:t>8、</w:t>
      </w:r>
      <w:r>
        <w:rPr>
          <w:rFonts w:hint="eastAsia"/>
          <w:b/>
          <w:lang w:eastAsia="zh-Hans" w:bidi="ar"/>
        </w:rPr>
        <w:t>门禁系统</w:t>
      </w:r>
    </w:p>
    <w:tbl>
      <w:tblPr>
        <w:tblStyle w:val="8"/>
        <w:tblW w:w="9502" w:type="dxa"/>
        <w:tblInd w:w="369" w:type="dxa"/>
        <w:tblLayout w:type="fixed"/>
        <w:tblCellMar>
          <w:top w:w="0" w:type="dxa"/>
          <w:left w:w="108" w:type="dxa"/>
          <w:bottom w:w="0" w:type="dxa"/>
          <w:right w:w="108" w:type="dxa"/>
        </w:tblCellMar>
      </w:tblPr>
      <w:tblGrid>
        <w:gridCol w:w="1062"/>
        <w:gridCol w:w="1740"/>
        <w:gridCol w:w="3895"/>
        <w:gridCol w:w="1325"/>
        <w:gridCol w:w="1480"/>
      </w:tblGrid>
      <w:tr>
        <w:tblPrEx>
          <w:tblCellMar>
            <w:top w:w="0" w:type="dxa"/>
            <w:left w:w="108" w:type="dxa"/>
            <w:bottom w:w="0" w:type="dxa"/>
            <w:right w:w="108" w:type="dxa"/>
          </w:tblCellMar>
        </w:tblPrEx>
        <w:trPr>
          <w:trHeight w:val="51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名称</w:t>
            </w:r>
          </w:p>
        </w:tc>
        <w:tc>
          <w:tcPr>
            <w:tcW w:w="38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描述</w:t>
            </w:r>
          </w:p>
        </w:tc>
        <w:tc>
          <w:tcPr>
            <w:tcW w:w="13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数量</w:t>
            </w:r>
          </w:p>
        </w:tc>
        <w:tc>
          <w:tcPr>
            <w:tcW w:w="14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单位</w:t>
            </w:r>
          </w:p>
        </w:tc>
      </w:tr>
      <w:tr>
        <w:tblPrEx>
          <w:tblCellMar>
            <w:top w:w="0" w:type="dxa"/>
            <w:left w:w="108" w:type="dxa"/>
            <w:bottom w:w="0" w:type="dxa"/>
            <w:right w:w="108" w:type="dxa"/>
          </w:tblCellMar>
        </w:tblPrEx>
        <w:trPr>
          <w:trHeight w:val="51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sz w:val="22"/>
                <w:szCs w:val="22"/>
              </w:rPr>
              <w:t>人脸门禁一体机</w:t>
            </w:r>
          </w:p>
        </w:tc>
        <w:tc>
          <w:tcPr>
            <w:tcW w:w="3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7英寸触摸显示屏，屏幕比例9:16，屏幕分辨率600*1024；摄像头参数：采用宽动态200万双目摄像头；认证方式：支持人脸、刷卡（IC卡、手机NFC卡、CPU卡序列号/内容、身份证卡序列号）、密码认证方式，可外接身份证、指纹、蓝牙、二维码功能模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台</w:t>
            </w:r>
          </w:p>
        </w:tc>
      </w:tr>
      <w:tr>
        <w:tblPrEx>
          <w:tblCellMar>
            <w:top w:w="0" w:type="dxa"/>
            <w:left w:w="108" w:type="dxa"/>
            <w:bottom w:w="0" w:type="dxa"/>
            <w:right w:w="108" w:type="dxa"/>
          </w:tblCellMar>
        </w:tblPrEx>
        <w:trPr>
          <w:trHeight w:val="51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sz w:val="22"/>
                <w:szCs w:val="22"/>
              </w:rPr>
              <w:t>门禁开关电源</w:t>
            </w:r>
          </w:p>
        </w:tc>
        <w:tc>
          <w:tcPr>
            <w:tcW w:w="3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输入电压：100-240VAC；</w:t>
            </w:r>
          </w:p>
          <w:p>
            <w:pPr>
              <w:widowControl/>
              <w:jc w:val="left"/>
              <w:textAlignment w:val="center"/>
              <w:rPr>
                <w:rFonts w:ascii="宋体" w:hAnsi="宋体" w:cs="宋体"/>
                <w:sz w:val="22"/>
                <w:szCs w:val="22"/>
              </w:rPr>
            </w:pPr>
            <w:r>
              <w:rPr>
                <w:rFonts w:hint="eastAsia" w:ascii="宋体" w:hAnsi="宋体" w:cs="宋体"/>
                <w:kern w:val="0"/>
                <w:sz w:val="22"/>
                <w:szCs w:val="22"/>
                <w:lang w:bidi="ar"/>
              </w:rPr>
              <w:t>输出电压：12VDC；</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w:t>
            </w:r>
          </w:p>
        </w:tc>
      </w:tr>
      <w:tr>
        <w:tblPrEx>
          <w:tblCellMar>
            <w:top w:w="0" w:type="dxa"/>
            <w:left w:w="108" w:type="dxa"/>
            <w:bottom w:w="0" w:type="dxa"/>
            <w:right w:w="108" w:type="dxa"/>
          </w:tblCellMar>
        </w:tblPrEx>
        <w:trPr>
          <w:trHeight w:val="51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sz w:val="22"/>
                <w:szCs w:val="22"/>
              </w:rPr>
              <w:t>开门按钮</w:t>
            </w:r>
          </w:p>
        </w:tc>
        <w:tc>
          <w:tcPr>
            <w:tcW w:w="3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输出：常开；</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w:t>
            </w:r>
          </w:p>
        </w:tc>
      </w:tr>
      <w:tr>
        <w:tblPrEx>
          <w:tblCellMar>
            <w:top w:w="0" w:type="dxa"/>
            <w:left w:w="108" w:type="dxa"/>
            <w:bottom w:w="0" w:type="dxa"/>
            <w:right w:w="108" w:type="dxa"/>
          </w:tblCellMar>
        </w:tblPrEx>
        <w:trPr>
          <w:trHeight w:val="51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sz w:val="22"/>
                <w:szCs w:val="22"/>
              </w:rPr>
              <w:t>磁力锁</w:t>
            </w:r>
          </w:p>
        </w:tc>
        <w:tc>
          <w:tcPr>
            <w:tcW w:w="3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最大静态直线拉力：280kg ± 15%</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断电开锁，满足消防要求；具有电锁状态指示灯（红灯为开锁状态， 绿灯为上锁状态）；支持锁状态侦测信号(门磁)输出：NO/NC/COM接点；</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w:t>
            </w:r>
          </w:p>
        </w:tc>
      </w:tr>
      <w:tr>
        <w:tblPrEx>
          <w:tblCellMar>
            <w:top w:w="0" w:type="dxa"/>
            <w:left w:w="108" w:type="dxa"/>
            <w:bottom w:w="0" w:type="dxa"/>
            <w:right w:w="108" w:type="dxa"/>
          </w:tblCellMar>
        </w:tblPrEx>
        <w:trPr>
          <w:trHeight w:val="51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sz w:val="22"/>
                <w:szCs w:val="22"/>
              </w:rPr>
              <w:t>磁力锁支架</w:t>
            </w:r>
          </w:p>
        </w:tc>
        <w:tc>
          <w:tcPr>
            <w:tcW w:w="3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选用材料：高强铝合金，表面喷沙，颜色为深灰色。外壳处理：阳极硬化电镀处理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个</w:t>
            </w:r>
          </w:p>
        </w:tc>
      </w:tr>
      <w:tr>
        <w:tblPrEx>
          <w:tblCellMar>
            <w:top w:w="0" w:type="dxa"/>
            <w:left w:w="108" w:type="dxa"/>
            <w:bottom w:w="0" w:type="dxa"/>
            <w:right w:w="108" w:type="dxa"/>
          </w:tblCellMar>
        </w:tblPrEx>
        <w:trPr>
          <w:trHeight w:val="51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sz w:val="22"/>
                <w:szCs w:val="22"/>
              </w:rPr>
              <w:t>人脸采集摄像机</w:t>
            </w:r>
          </w:p>
        </w:tc>
        <w:tc>
          <w:tcPr>
            <w:tcW w:w="3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2"/>
                <w:szCs w:val="22"/>
              </w:rPr>
            </w:pPr>
            <w:r>
              <w:rPr>
                <w:rFonts w:hint="eastAsia" w:ascii="宋体" w:hAnsi="宋体" w:cs="宋体"/>
                <w:sz w:val="22"/>
                <w:szCs w:val="22"/>
              </w:rPr>
              <w:t>200万USB电视摄像机；内置麦克风，拾音清晰；支持自动电子增益功能，亮度自适应；支持标准USB 2.0接口，免驱设计，即插即用；支持Type-A接口，标准USB2.0协议，免驱设计，即插即用；传感器类型: 2 MP CMOS；分辨率: 1920 (水平) × 1080 (垂直)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台</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2A79D"/>
    <w:multiLevelType w:val="singleLevel"/>
    <w:tmpl w:val="CDB2A79D"/>
    <w:lvl w:ilvl="0" w:tentative="0">
      <w:start w:val="1"/>
      <w:numFmt w:val="decimal"/>
      <w:suff w:val="space"/>
      <w:lvlText w:val="%1."/>
      <w:lvlJc w:val="left"/>
    </w:lvl>
  </w:abstractNum>
  <w:abstractNum w:abstractNumId="1">
    <w:nsid w:val="1E5146BB"/>
    <w:multiLevelType w:val="multilevel"/>
    <w:tmpl w:val="1E5146BB"/>
    <w:lvl w:ilvl="0" w:tentative="0">
      <w:start w:val="1"/>
      <w:numFmt w:val="japaneseCounting"/>
      <w:lvlText w:val="第%1章、"/>
      <w:lvlJc w:val="left"/>
      <w:pPr>
        <w:tabs>
          <w:tab w:val="left" w:pos="1860"/>
        </w:tabs>
        <w:ind w:left="1860" w:hanging="144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9B42B7B"/>
    <w:multiLevelType w:val="multilevel"/>
    <w:tmpl w:val="29B42B7B"/>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709"/>
        </w:tabs>
        <w:ind w:left="709"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
    <w:nsid w:val="51513E3F"/>
    <w:multiLevelType w:val="singleLevel"/>
    <w:tmpl w:val="51513E3F"/>
    <w:lvl w:ilvl="0" w:tentative="0">
      <w:start w:val="1"/>
      <w:numFmt w:val="decimal"/>
      <w:lvlText w:val="%1."/>
      <w:lvlJc w:val="left"/>
      <w:pPr>
        <w:tabs>
          <w:tab w:val="left" w:pos="312"/>
        </w:tabs>
      </w:pPr>
    </w:lvl>
  </w:abstractNum>
  <w:abstractNum w:abstractNumId="4">
    <w:nsid w:val="53CC6C21"/>
    <w:multiLevelType w:val="singleLevel"/>
    <w:tmpl w:val="53CC6C21"/>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GJkM2ZlOGFiYzRkYzM5ZGJjMjM5MTNiNzc3MzcifQ=="/>
  </w:docVars>
  <w:rsids>
    <w:rsidRoot w:val="24AA0B2F"/>
    <w:rsid w:val="00013CF8"/>
    <w:rsid w:val="00076C45"/>
    <w:rsid w:val="00116559"/>
    <w:rsid w:val="0016195A"/>
    <w:rsid w:val="00261F8F"/>
    <w:rsid w:val="003825A2"/>
    <w:rsid w:val="003E0F11"/>
    <w:rsid w:val="004D170A"/>
    <w:rsid w:val="005E4D14"/>
    <w:rsid w:val="00641F38"/>
    <w:rsid w:val="007763F3"/>
    <w:rsid w:val="00804D17"/>
    <w:rsid w:val="0086341F"/>
    <w:rsid w:val="0094498B"/>
    <w:rsid w:val="00946020"/>
    <w:rsid w:val="009511AC"/>
    <w:rsid w:val="0097557A"/>
    <w:rsid w:val="009F7E06"/>
    <w:rsid w:val="00C24967"/>
    <w:rsid w:val="00DD2422"/>
    <w:rsid w:val="00E45D16"/>
    <w:rsid w:val="02636CF4"/>
    <w:rsid w:val="09902086"/>
    <w:rsid w:val="1AF96128"/>
    <w:rsid w:val="24AA0B2F"/>
    <w:rsid w:val="2AC944BF"/>
    <w:rsid w:val="308318F2"/>
    <w:rsid w:val="31730C77"/>
    <w:rsid w:val="35BE62A9"/>
    <w:rsid w:val="38E24696"/>
    <w:rsid w:val="3AF67223"/>
    <w:rsid w:val="3E7019E9"/>
    <w:rsid w:val="4382242E"/>
    <w:rsid w:val="43F74D5B"/>
    <w:rsid w:val="45846DD8"/>
    <w:rsid w:val="49AC79C3"/>
    <w:rsid w:val="6E592DFB"/>
    <w:rsid w:val="720C3222"/>
    <w:rsid w:val="76C23E37"/>
    <w:rsid w:val="7B223D6B"/>
    <w:rsid w:val="FEBEA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Lines="50" w:afterLines="50" w:line="360" w:lineRule="auto"/>
      <w:outlineLvl w:val="2"/>
    </w:pPr>
    <w:rPr>
      <w:rFonts w:ascii="黑体"/>
      <w:bCs/>
      <w:kern w:val="0"/>
      <w:sz w:val="24"/>
      <w:szCs w:val="20"/>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200" w:firstLineChars="200"/>
    </w:pPr>
    <w:rPr>
      <w:rFonts w:ascii="仿宋_GB2312" w:hAnsi="仿宋_GB2312"/>
      <w:sz w:val="24"/>
      <w:szCs w:val="30"/>
    </w:rPr>
  </w:style>
  <w:style w:type="paragraph" w:styleId="6">
    <w:name w:val="annotation text"/>
    <w:basedOn w:val="1"/>
    <w:semiHidden/>
    <w:unhideWhenUsed/>
    <w:qFormat/>
    <w:uiPriority w:val="99"/>
    <w:pPr>
      <w:jc w:val="left"/>
    </w:pPr>
  </w:style>
  <w:style w:type="paragraph" w:styleId="7">
    <w:name w:val="Balloon Text"/>
    <w:basedOn w:val="1"/>
    <w:link w:val="16"/>
    <w:qFormat/>
    <w:uiPriority w:val="0"/>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 首行缩进:  0 字符"/>
    <w:basedOn w:val="1"/>
    <w:qFormat/>
    <w:uiPriority w:val="0"/>
    <w:pPr>
      <w:spacing w:line="360" w:lineRule="auto"/>
      <w:ind w:firstLine="200" w:firstLineChars="200"/>
    </w:pPr>
    <w:rPr>
      <w:rFonts w:cs="宋体"/>
      <w:sz w:val="24"/>
      <w:szCs w:val="20"/>
    </w:rPr>
  </w:style>
  <w:style w:type="character" w:customStyle="1" w:styleId="12">
    <w:name w:val="font131"/>
    <w:basedOn w:val="10"/>
    <w:qFormat/>
    <w:uiPriority w:val="0"/>
    <w:rPr>
      <w:rFonts w:hint="eastAsia" w:ascii="宋体" w:hAnsi="宋体" w:eastAsia="宋体" w:cs="宋体"/>
      <w:color w:val="FF0000"/>
      <w:sz w:val="20"/>
      <w:szCs w:val="20"/>
      <w:u w:val="none"/>
    </w:rPr>
  </w:style>
  <w:style w:type="character" w:customStyle="1" w:styleId="13">
    <w:name w:val="font51"/>
    <w:basedOn w:val="10"/>
    <w:qFormat/>
    <w:uiPriority w:val="0"/>
    <w:rPr>
      <w:rFonts w:hint="default" w:ascii="Times New Roman" w:hAnsi="Times New Roman" w:cs="Times New Roman"/>
      <w:color w:val="000000"/>
      <w:sz w:val="18"/>
      <w:szCs w:val="18"/>
      <w:u w:val="none"/>
    </w:rPr>
  </w:style>
  <w:style w:type="character" w:customStyle="1" w:styleId="14">
    <w:name w:val="font6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eastAsia" w:ascii="宋体" w:hAnsi="宋体" w:eastAsia="宋体" w:cs="宋体"/>
      <w:color w:val="000000"/>
      <w:sz w:val="22"/>
      <w:szCs w:val="22"/>
      <w:u w:val="none"/>
    </w:rPr>
  </w:style>
  <w:style w:type="character" w:customStyle="1" w:styleId="16">
    <w:name w:val="批注框文本 Char"/>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8148</Words>
  <Characters>9292</Characters>
  <Lines>76</Lines>
  <Paragraphs>21</Paragraphs>
  <TotalTime>219</TotalTime>
  <ScaleCrop>false</ScaleCrop>
  <LinksUpToDate>false</LinksUpToDate>
  <CharactersWithSpaces>9453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2023-04-25T01:32:00Z</dcterms:created>
  <dc:creator>李杰</dc:creator>
  <cp:lastModifiedBy>时光</cp:lastModifiedBy>
  <dcterms:modified xsi:type="dcterms:W3CDTF">2023-05-22T00:50:06Z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8ACC6F0495204A80AC362203B2062AD9_13</vt:lpwstr>
  </property>
</Properties>
</file>